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Aptos Narrow" w:hAnsi="Aptos Narrow"/>
        </w:rPr>
        <w:tag w:val="goog_rdk_54"/>
        <w:id w:val="-2030241115"/>
      </w:sdtPr>
      <w:sdtContent>
        <w:p w14:paraId="5DCBC1DB" w14:textId="1CEC0DBD" w:rsidR="0037138B" w:rsidRPr="00E3284A" w:rsidRDefault="0037138B" w:rsidP="0037138B">
          <w:pPr>
            <w:spacing w:line="480" w:lineRule="auto"/>
            <w:jc w:val="both"/>
            <w:rPr>
              <w:rFonts w:ascii="Aptos Narrow" w:eastAsia="Aptos Narrow" w:hAnsi="Aptos Narrow" w:cs="Aptos Narrow"/>
              <w:b/>
              <w:bCs/>
              <w:color w:val="000000"/>
              <w:u w:val="single"/>
            </w:rPr>
          </w:pPr>
          <w:r w:rsidRPr="00E3284A">
            <w:rPr>
              <w:rFonts w:ascii="Aptos Narrow" w:eastAsia="Aptos Narrow" w:hAnsi="Aptos Narrow" w:cs="Aptos Narrow"/>
              <w:b/>
              <w:bCs/>
              <w:color w:val="000000"/>
              <w:u w:val="single"/>
            </w:rPr>
            <w:t>Supplementary methods</w:t>
          </w:r>
        </w:p>
        <w:p w14:paraId="6CD8E9F7" w14:textId="77777777" w:rsidR="0037138B" w:rsidRPr="00E3284A" w:rsidRDefault="0037138B" w:rsidP="0037138B">
          <w:pPr>
            <w:spacing w:line="480" w:lineRule="auto"/>
            <w:jc w:val="both"/>
            <w:rPr>
              <w:rFonts w:ascii="Aptos Narrow" w:eastAsia="Aptos Narrow" w:hAnsi="Aptos Narrow" w:cs="Aptos Narrow"/>
              <w:i/>
              <w:iCs/>
              <w:color w:val="000000"/>
            </w:rPr>
          </w:pPr>
          <w:r w:rsidRPr="00E3284A">
            <w:rPr>
              <w:rFonts w:ascii="Aptos Narrow" w:eastAsia="Aptos Narrow" w:hAnsi="Aptos Narrow" w:cs="Aptos Narrow"/>
              <w:i/>
              <w:iCs/>
              <w:color w:val="000000"/>
            </w:rPr>
            <w:t>Immunofluorescence staining of spinal cord tissue from experimental autoimmune encephalomyelitis (EAE) mice</w:t>
          </w:r>
        </w:p>
        <w:p w14:paraId="589488CA" w14:textId="77777777" w:rsidR="0037138B" w:rsidRDefault="0037138B" w:rsidP="0037138B">
          <w:pPr>
            <w:spacing w:line="480" w:lineRule="auto"/>
            <w:jc w:val="both"/>
            <w:rPr>
              <w:rFonts w:ascii="Aptos Narrow" w:eastAsia="Aptos Narrow" w:hAnsi="Aptos Narrow" w:cs="Aptos Narrow"/>
              <w:color w:val="000000"/>
            </w:rPr>
          </w:pPr>
          <w:r w:rsidRPr="00E3284A">
            <w:rPr>
              <w:rFonts w:ascii="Aptos Narrow" w:eastAsia="Aptos Narrow" w:hAnsi="Aptos Narrow" w:cs="Aptos Narrow"/>
              <w:color w:val="000000"/>
            </w:rPr>
            <w:t>Mice were sacrificed at day 15 post EAE induction and spinal cord tissue was snap frozen. Sections were prepared and dried at RT for 30 min, after which they were fixed in cold acetone (4°C) for 10 min, and subsequently dried at RT for 30 min. Sections were washed three times for 5 min with PBS and blocked with 0.05% Triton-X and 10% Dako protein block (Agilent) in PBS for 20 min at RT. Sections were incubated overnight at 4°C with following primary antibodies: rat anti-MBP (Sigma-Aldrich</w:t>
          </w:r>
          <w:r>
            <w:rPr>
              <w:rFonts w:ascii="Aptos Narrow" w:eastAsia="Aptos Narrow" w:hAnsi="Aptos Narrow" w:cs="Aptos Narrow"/>
              <w:color w:val="000000"/>
            </w:rPr>
            <w:t>;</w:t>
          </w:r>
          <w:r w:rsidRPr="00E3284A">
            <w:rPr>
              <w:rFonts w:ascii="Aptos Narrow" w:eastAsia="Aptos Narrow" w:hAnsi="Aptos Narrow" w:cs="Aptos Narrow"/>
              <w:color w:val="000000"/>
            </w:rPr>
            <w:t xml:space="preserve"> #MAB386</w:t>
          </w:r>
          <w:r>
            <w:rPr>
              <w:rFonts w:ascii="Aptos Narrow" w:eastAsia="Aptos Narrow" w:hAnsi="Aptos Narrow" w:cs="Aptos Narrow"/>
              <w:color w:val="000000"/>
            </w:rPr>
            <w:t>,</w:t>
          </w:r>
          <w:r w:rsidRPr="00E3284A">
            <w:rPr>
              <w:rFonts w:ascii="Aptos Narrow" w:eastAsia="Aptos Narrow" w:hAnsi="Aptos Narrow" w:cs="Aptos Narrow"/>
              <w:color w:val="000000"/>
            </w:rPr>
            <w:t xml:space="preserve"> 1/500 in block buffer) and rabbit anti-Ly6G (Fisher scientific, Hampton, NH, USA; Clone 1A8, 1/500 in block buffer), followed by </w:t>
          </w:r>
          <w:r>
            <w:rPr>
              <w:rFonts w:ascii="Aptos Narrow" w:eastAsia="Aptos Narrow" w:hAnsi="Aptos Narrow" w:cs="Aptos Narrow"/>
              <w:color w:val="000000"/>
            </w:rPr>
            <w:t xml:space="preserve">3 </w:t>
          </w:r>
          <w:r w:rsidRPr="00E3284A">
            <w:rPr>
              <w:rFonts w:ascii="Aptos Narrow" w:eastAsia="Aptos Narrow" w:hAnsi="Aptos Narrow" w:cs="Aptos Narrow"/>
              <w:color w:val="000000"/>
            </w:rPr>
            <w:t>PBS washes. Sections were then incubated with following secondary antibodies: AF555 goat anti-rat (1/400 in PBS, Invitrogen) and AF488 goat anti-rabbit (1/500 in PBS, Invitrogen) for 1 h at RT, washed and stained with DAPI for 10 min at RT. Finally, sections were incubated with 0.3% Sudan Black (Merck, Darmstadt, Germany) in 70% ethanol to limit autofluorescence and mounted with Fluoromount-G™ Mounting Medium (Invitrogen). Sections were imaged using a Leica DM2000 LED microscope (Leica Microsystems, Wetzlar, Germany).</w:t>
          </w:r>
        </w:p>
        <w:p w14:paraId="55508220" w14:textId="77777777" w:rsidR="0037138B" w:rsidRDefault="0037138B" w:rsidP="0037138B">
          <w:pPr>
            <w:suppressLineNumbers/>
            <w:spacing w:line="480" w:lineRule="auto"/>
            <w:jc w:val="both"/>
            <w:rPr>
              <w:rFonts w:ascii="Aptos Narrow" w:eastAsia="Aptos Narrow" w:hAnsi="Aptos Narrow" w:cs="Aptos Narrow"/>
              <w:color w:val="000000"/>
            </w:rPr>
          </w:pPr>
        </w:p>
        <w:p w14:paraId="0C9CF02D" w14:textId="77777777" w:rsidR="0037138B" w:rsidRDefault="0037138B" w:rsidP="0037138B">
          <w:pPr>
            <w:suppressLineNumbers/>
            <w:spacing w:line="480" w:lineRule="auto"/>
            <w:jc w:val="both"/>
            <w:rPr>
              <w:rFonts w:ascii="Aptos Narrow" w:eastAsia="Aptos Narrow" w:hAnsi="Aptos Narrow" w:cs="Aptos Narrow"/>
              <w:color w:val="000000"/>
            </w:rPr>
          </w:pPr>
        </w:p>
        <w:p w14:paraId="7BB6AD0F" w14:textId="77777777" w:rsidR="0037138B" w:rsidRDefault="0037138B" w:rsidP="0037138B">
          <w:pPr>
            <w:suppressLineNumbers/>
            <w:spacing w:line="480" w:lineRule="auto"/>
            <w:jc w:val="both"/>
            <w:rPr>
              <w:rFonts w:ascii="Aptos Narrow" w:eastAsia="Aptos Narrow" w:hAnsi="Aptos Narrow" w:cs="Aptos Narrow"/>
              <w:color w:val="000000"/>
            </w:rPr>
          </w:pPr>
        </w:p>
        <w:p w14:paraId="2A1A19ED" w14:textId="77777777" w:rsidR="0037138B" w:rsidRDefault="0037138B" w:rsidP="0037138B">
          <w:pPr>
            <w:suppressLineNumbers/>
            <w:spacing w:line="480" w:lineRule="auto"/>
            <w:jc w:val="both"/>
            <w:rPr>
              <w:rFonts w:ascii="Aptos Narrow" w:eastAsia="Aptos Narrow" w:hAnsi="Aptos Narrow" w:cs="Aptos Narrow"/>
              <w:color w:val="000000"/>
            </w:rPr>
          </w:pPr>
        </w:p>
        <w:p w14:paraId="46616E24" w14:textId="77777777" w:rsidR="0037138B" w:rsidRDefault="0037138B" w:rsidP="0037138B">
          <w:pPr>
            <w:suppressLineNumbers/>
            <w:spacing w:line="480" w:lineRule="auto"/>
            <w:jc w:val="both"/>
            <w:rPr>
              <w:rFonts w:ascii="Aptos Narrow" w:eastAsia="Aptos Narrow" w:hAnsi="Aptos Narrow" w:cs="Aptos Narrow"/>
              <w:color w:val="000000"/>
            </w:rPr>
          </w:pPr>
        </w:p>
        <w:p w14:paraId="22CB3B23" w14:textId="77777777" w:rsidR="0037138B" w:rsidRDefault="0037138B" w:rsidP="0037138B">
          <w:pPr>
            <w:suppressLineNumbers/>
            <w:spacing w:line="480" w:lineRule="auto"/>
            <w:jc w:val="both"/>
            <w:rPr>
              <w:rFonts w:ascii="Aptos Narrow" w:eastAsia="Aptos Narrow" w:hAnsi="Aptos Narrow" w:cs="Aptos Narrow"/>
              <w:color w:val="000000"/>
            </w:rPr>
          </w:pPr>
        </w:p>
        <w:p w14:paraId="69A8824F" w14:textId="77777777" w:rsidR="0037138B" w:rsidRDefault="0037138B" w:rsidP="0037138B">
          <w:pPr>
            <w:suppressLineNumbers/>
            <w:spacing w:line="480" w:lineRule="auto"/>
            <w:jc w:val="both"/>
            <w:rPr>
              <w:rFonts w:ascii="Aptos Narrow" w:eastAsia="Aptos Narrow" w:hAnsi="Aptos Narrow" w:cs="Aptos Narrow"/>
              <w:color w:val="000000"/>
            </w:rPr>
          </w:pPr>
        </w:p>
        <w:p w14:paraId="009BED51" w14:textId="77777777" w:rsidR="0037138B" w:rsidRDefault="0037138B" w:rsidP="0037138B">
          <w:pPr>
            <w:suppressLineNumbers/>
            <w:spacing w:line="480" w:lineRule="auto"/>
            <w:jc w:val="both"/>
            <w:rPr>
              <w:rFonts w:ascii="Aptos Narrow" w:eastAsia="Aptos Narrow" w:hAnsi="Aptos Narrow" w:cs="Aptos Narrow"/>
              <w:color w:val="000000"/>
            </w:rPr>
          </w:pPr>
        </w:p>
        <w:p w14:paraId="78EBDD04" w14:textId="77777777" w:rsidR="0037138B" w:rsidRPr="00291786" w:rsidRDefault="0037138B" w:rsidP="0037138B">
          <w:pPr>
            <w:suppressLineNumbers/>
            <w:spacing w:line="480" w:lineRule="auto"/>
            <w:jc w:val="both"/>
            <w:rPr>
              <w:rFonts w:ascii="Aptos Narrow" w:eastAsia="Aptos Narrow" w:hAnsi="Aptos Narrow" w:cs="Aptos Narrow"/>
              <w:b/>
              <w:bCs/>
              <w:color w:val="000000"/>
              <w:u w:val="single"/>
            </w:rPr>
          </w:pPr>
          <w:r w:rsidRPr="00E3284A">
            <w:rPr>
              <w:rFonts w:ascii="Aptos Narrow" w:eastAsia="Aptos Narrow" w:hAnsi="Aptos Narrow" w:cs="Aptos Narrow"/>
              <w:b/>
              <w:bCs/>
              <w:color w:val="000000"/>
              <w:u w:val="single"/>
            </w:rPr>
            <w:t xml:space="preserve">Supplementary </w:t>
          </w:r>
          <w:r>
            <w:rPr>
              <w:rFonts w:ascii="Aptos Narrow" w:eastAsia="Aptos Narrow" w:hAnsi="Aptos Narrow" w:cs="Aptos Narrow"/>
              <w:b/>
              <w:bCs/>
              <w:color w:val="000000"/>
              <w:u w:val="single"/>
            </w:rPr>
            <w:t>figures</w:t>
          </w:r>
        </w:p>
      </w:sdtContent>
    </w:sdt>
    <w:p w14:paraId="0B8AE32F" w14:textId="77777777" w:rsidR="0037138B" w:rsidRDefault="0037138B" w:rsidP="0037138B">
      <w:pPr>
        <w:suppressLineNumbers/>
        <w:spacing w:line="480" w:lineRule="auto"/>
        <w:rPr>
          <w:rFonts w:ascii="Aptos Narrow" w:eastAsia="Aptos Narrow" w:hAnsi="Aptos Narrow" w:cs="Aptos Narrow"/>
          <w:color w:val="000000"/>
        </w:rPr>
      </w:pPr>
      <w:r w:rsidRPr="00803634">
        <w:rPr>
          <w:rFonts w:ascii="Aptos Narrow" w:eastAsia="Aptos Narrow" w:hAnsi="Aptos Narrow" w:cs="Aptos Narrow"/>
          <w:noProof/>
          <w:color w:val="000000"/>
        </w:rPr>
        <mc:AlternateContent>
          <mc:Choice Requires="wps">
            <w:drawing>
              <wp:anchor distT="45720" distB="45720" distL="114300" distR="114300" simplePos="0" relativeHeight="251659264" behindDoc="1" locked="0" layoutInCell="1" allowOverlap="1" wp14:anchorId="36BEF8E5" wp14:editId="575F3325">
                <wp:simplePos x="0" y="0"/>
                <wp:positionH relativeFrom="column">
                  <wp:posOffset>-180238</wp:posOffset>
                </wp:positionH>
                <wp:positionV relativeFrom="paragraph">
                  <wp:posOffset>2771789</wp:posOffset>
                </wp:positionV>
                <wp:extent cx="5972175" cy="619125"/>
                <wp:effectExtent l="0" t="0" r="0" b="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619125"/>
                        </a:xfrm>
                        <a:prstGeom prst="rect">
                          <a:avLst/>
                        </a:prstGeom>
                        <a:noFill/>
                        <a:ln w="9525">
                          <a:noFill/>
                          <a:miter lim="800000"/>
                          <a:headEnd/>
                          <a:tailEnd/>
                        </a:ln>
                      </wps:spPr>
                      <wps:txbx>
                        <w:txbxContent>
                          <w:p w14:paraId="5437435B" w14:textId="77777777" w:rsidR="0037138B" w:rsidRPr="00803634" w:rsidRDefault="0037138B" w:rsidP="0037138B">
                            <w:pPr>
                              <w:spacing w:before="150" w:line="216" w:lineRule="auto"/>
                              <w:jc w:val="both"/>
                              <w:rPr>
                                <w:rFonts w:ascii="Times New Roman" w:eastAsia="Times New Roman" w:hAnsi="Times New Roman" w:cs="Times New Roman"/>
                                <w:sz w:val="24"/>
                                <w:szCs w:val="24"/>
                                <w:lang w:val="en-AU"/>
                              </w:rPr>
                            </w:pPr>
                            <w:r w:rsidRPr="00803634">
                              <w:rPr>
                                <w:rFonts w:ascii="Aptos Narrow" w:eastAsia="+mn-ea" w:hAnsi="Aptos Narrow" w:cs="Arial"/>
                                <w:b/>
                                <w:bCs/>
                                <w:color w:val="000000"/>
                                <w:kern w:val="24"/>
                                <w:sz w:val="18"/>
                                <w:szCs w:val="18"/>
                                <w:lang w:val="en-US"/>
                              </w:rPr>
                              <w:t xml:space="preserve">Supplementary Figure 1 | Neutrophils are present in EAE spinal cord tissue in demyelinated regions. </w:t>
                            </w:r>
                            <w:r w:rsidRPr="00803634">
                              <w:rPr>
                                <w:rFonts w:ascii="Aptos Narrow" w:eastAsia="+mn-ea" w:hAnsi="Aptos Narrow" w:cs="Arial"/>
                                <w:color w:val="000000"/>
                                <w:kern w:val="24"/>
                                <w:sz w:val="18"/>
                                <w:szCs w:val="18"/>
                                <w:lang w:val="en-US"/>
                              </w:rPr>
                              <w:t>Mice with EAE (n=6 per group) were sacrificed at day 15 post EAE induction and spinal cord tissue was fixed (10% paraformaldehyde) and stained. Red = MBP (555), Blue = DAPI, Green = Ly6G (488)</w:t>
                            </w:r>
                          </w:p>
                          <w:p w14:paraId="671FED72" w14:textId="77777777" w:rsidR="0037138B" w:rsidRDefault="0037138B" w:rsidP="003713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BEF8E5" id="_x0000_t202" coordsize="21600,21600" o:spt="202" path="m,l,21600r21600,l21600,xe">
                <v:stroke joinstyle="miter"/>
                <v:path gradientshapeok="t" o:connecttype="rect"/>
              </v:shapetype>
              <v:shape id="Text Box 2" o:spid="_x0000_s1026" type="#_x0000_t202" style="position:absolute;margin-left:-14.2pt;margin-top:218.25pt;width:470.25pt;height:48.7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" filled="f" stroked="f">
                <v:textbox>
                  <w:txbxContent>
                    <w:p w14:paraId="5437435B" w14:textId="77777777" w:rsidR="0037138B" w:rsidRPr="00803634" w:rsidRDefault="0037138B" w:rsidP="0037138B">
                      <w:pPr>
                        <w:spacing w:before="150" w:line="216" w:lineRule="auto"/>
                        <w:jc w:val="both"/>
                        <w:rPr>
                          <w:rFonts w:ascii="Times New Roman" w:eastAsia="Times New Roman" w:hAnsi="Times New Roman" w:cs="Times New Roman"/>
                          <w:sz w:val="24"/>
                          <w:szCs w:val="24"/>
                          <w:lang w:val="en-AU"/>
                        </w:rPr>
                      </w:pPr>
                      <w:r w:rsidRPr="00803634">
                        <w:rPr>
                          <w:rFonts w:ascii="Aptos Narrow" w:eastAsia="+mn-ea" w:hAnsi="Aptos Narrow" w:cs="Arial"/>
                          <w:b/>
                          <w:bCs/>
                          <w:color w:val="000000"/>
                          <w:kern w:val="24"/>
                          <w:sz w:val="18"/>
                          <w:szCs w:val="18"/>
                          <w:lang w:val="en-US"/>
                        </w:rPr>
                        <w:t xml:space="preserve">Supplementary Figure 1 | Neutrophils are present in EAE spinal cord tissue in demyelinated regions. </w:t>
                      </w:r>
                      <w:r w:rsidRPr="00803634">
                        <w:rPr>
                          <w:rFonts w:ascii="Aptos Narrow" w:eastAsia="+mn-ea" w:hAnsi="Aptos Narrow" w:cs="Arial"/>
                          <w:color w:val="000000"/>
                          <w:kern w:val="24"/>
                          <w:sz w:val="18"/>
                          <w:szCs w:val="18"/>
                          <w:lang w:val="en-US"/>
                        </w:rPr>
                        <w:t>Mice with EAE (n=6 per group) were sacrificed at day 15 post EAE induction and spinal cord tissue was fixed (10% paraformaldehyde) and stained. Red = MBP (555), Blue = DAPI, Green = Ly6G (488)</w:t>
                      </w:r>
                    </w:p>
                    <w:p w14:paraId="671FED72" w14:textId="77777777" w:rsidR="0037138B" w:rsidRDefault="0037138B" w:rsidP="0037138B"/>
                  </w:txbxContent>
                </v:textbox>
                <w10:wrap type="topAndBottom"/>
              </v:shape>
            </w:pict>
          </mc:Fallback>
        </mc:AlternateContent>
      </w:r>
      <w:r>
        <w:rPr>
          <w:noProof/>
        </w:rPr>
        <w:drawing>
          <wp:inline distT="0" distB="0" distL="0" distR="0" wp14:anchorId="7A39F6FE" wp14:editId="1CC56556">
            <wp:extent cx="5760720" cy="2722880"/>
            <wp:effectExtent l="0" t="0" r="0" b="1270"/>
            <wp:docPr id="7062702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2722880"/>
                    </a:xfrm>
                    <a:prstGeom prst="rect">
                      <a:avLst/>
                    </a:prstGeom>
                    <a:noFill/>
                    <a:ln>
                      <a:noFill/>
                    </a:ln>
                  </pic:spPr>
                </pic:pic>
              </a:graphicData>
            </a:graphic>
          </wp:inline>
        </w:drawing>
      </w:r>
    </w:p>
    <w:p w14:paraId="6A3A4356" w14:textId="77777777" w:rsidR="0037138B" w:rsidRPr="00132281" w:rsidRDefault="0037138B" w:rsidP="0037138B">
      <w:pPr>
        <w:suppressLineNumbers/>
        <w:spacing w:line="480" w:lineRule="auto"/>
        <w:rPr>
          <w:rFonts w:ascii="Aptos Narrow" w:eastAsia="Aptos Narrow" w:hAnsi="Aptos Narrow" w:cs="Aptos Narrow"/>
          <w:color w:val="000000"/>
          <w:lang w:val="en-AU"/>
        </w:rPr>
      </w:pPr>
    </w:p>
    <w:p w14:paraId="58361C19" w14:textId="77777777" w:rsidR="0037138B" w:rsidRDefault="0037138B" w:rsidP="0037138B">
      <w:pPr>
        <w:suppressLineNumbers/>
        <w:spacing w:line="480" w:lineRule="auto"/>
        <w:rPr>
          <w:rFonts w:ascii="Aptos Narrow" w:eastAsia="Aptos Narrow" w:hAnsi="Aptos Narrow" w:cs="Aptos Narrow"/>
          <w:color w:val="000000"/>
        </w:rPr>
      </w:pPr>
    </w:p>
    <w:p w14:paraId="2EE0CD77" w14:textId="77777777" w:rsidR="0037138B" w:rsidRPr="001613CA" w:rsidRDefault="0037138B" w:rsidP="0037138B">
      <w:pPr>
        <w:suppressLineNumbers/>
        <w:spacing w:line="480" w:lineRule="auto"/>
        <w:rPr>
          <w:rFonts w:ascii="Aptos Narrow" w:eastAsia="Aptos Narrow" w:hAnsi="Aptos Narrow" w:cs="Aptos Narrow"/>
          <w:color w:val="000000"/>
          <w:lang w:val="en-AU"/>
        </w:rPr>
      </w:pPr>
      <w:r w:rsidRPr="00E3284A">
        <w:rPr>
          <w:rFonts w:ascii="Aptos Narrow" w:hAnsi="Aptos Narrow"/>
          <w:noProof/>
        </w:rPr>
        <mc:AlternateContent>
          <mc:Choice Requires="wps">
            <w:drawing>
              <wp:anchor distT="0" distB="0" distL="114300" distR="114300" simplePos="0" relativeHeight="251660288" behindDoc="0" locked="0" layoutInCell="1" hidden="0" allowOverlap="1" wp14:anchorId="5BCD5FD8" wp14:editId="70E2C5DF">
                <wp:simplePos x="0" y="0"/>
                <wp:positionH relativeFrom="column">
                  <wp:posOffset>-118272</wp:posOffset>
                </wp:positionH>
                <wp:positionV relativeFrom="paragraph">
                  <wp:posOffset>1571625</wp:posOffset>
                </wp:positionV>
                <wp:extent cx="5941060" cy="895350"/>
                <wp:effectExtent l="0" t="0" r="0" b="0"/>
                <wp:wrapTopAndBottom distT="0" distB="0"/>
                <wp:docPr id="1806006720" name="Rectangle 1806006720"/>
                <wp:cNvGraphicFramePr/>
                <a:graphic xmlns:a="http://schemas.openxmlformats.org/drawingml/2006/main">
                  <a:graphicData uri="http://schemas.microsoft.com/office/word/2010/wordprocessingShape">
                    <wps:wsp>
                      <wps:cNvSpPr/>
                      <wps:spPr>
                        <a:xfrm>
                          <a:off x="0" y="0"/>
                          <a:ext cx="5941060" cy="895350"/>
                        </a:xfrm>
                        <a:prstGeom prst="rect">
                          <a:avLst/>
                        </a:prstGeom>
                        <a:noFill/>
                        <a:ln>
                          <a:noFill/>
                        </a:ln>
                      </wps:spPr>
                      <wps:txbx>
                        <w:txbxContent>
                          <w:p w14:paraId="47A7C72D" w14:textId="77777777" w:rsidR="0037138B" w:rsidRPr="00C3407F" w:rsidRDefault="0037138B" w:rsidP="0037138B">
                            <w:pPr>
                              <w:spacing w:after="0" w:line="240" w:lineRule="auto"/>
                              <w:jc w:val="both"/>
                              <w:rPr>
                                <w:rFonts w:ascii="Times New Roman" w:eastAsia="Times New Roman" w:hAnsi="Times New Roman" w:cs="Times New Roman"/>
                                <w:sz w:val="24"/>
                                <w:szCs w:val="24"/>
                                <w:lang w:val="en-AU"/>
                              </w:rPr>
                            </w:pPr>
                            <w:r w:rsidRPr="00C3407F">
                              <w:rPr>
                                <w:rFonts w:ascii="Aptos Narrow" w:eastAsia="+mn-ea" w:hAnsi="Aptos Narrow" w:cs="Arial"/>
                                <w:b/>
                                <w:bCs/>
                                <w:color w:val="000000"/>
                                <w:kern w:val="24"/>
                                <w:sz w:val="18"/>
                                <w:szCs w:val="18"/>
                                <w:lang w:val="en-US"/>
                              </w:rPr>
                              <w:t xml:space="preserve">Supplementary figure </w:t>
                            </w:r>
                            <w:r>
                              <w:rPr>
                                <w:rFonts w:ascii="Aptos Narrow" w:eastAsia="+mn-ea" w:hAnsi="Aptos Narrow" w:cs="Arial"/>
                                <w:b/>
                                <w:bCs/>
                                <w:color w:val="000000"/>
                                <w:kern w:val="24"/>
                                <w:sz w:val="18"/>
                                <w:szCs w:val="18"/>
                                <w:lang w:val="en-US"/>
                              </w:rPr>
                              <w:t>2</w:t>
                            </w:r>
                            <w:r w:rsidRPr="00C3407F">
                              <w:rPr>
                                <w:rFonts w:ascii="Aptos Narrow" w:eastAsia="+mn-ea" w:hAnsi="Aptos Narrow" w:cs="Arial"/>
                                <w:b/>
                                <w:bCs/>
                                <w:color w:val="000000"/>
                                <w:kern w:val="24"/>
                                <w:sz w:val="18"/>
                                <w:szCs w:val="18"/>
                                <w:lang w:val="en-US"/>
                              </w:rPr>
                              <w:t xml:space="preserve"> | Effect of opsonized myelin on neutrophil viability over time. </w:t>
                            </w:r>
                            <w:r w:rsidRPr="00C3407F">
                              <w:rPr>
                                <w:rFonts w:ascii="Aptos Narrow" w:eastAsia="+mn-ea" w:hAnsi="Aptos Narrow" w:cs="Arial"/>
                                <w:color w:val="000000"/>
                                <w:kern w:val="24"/>
                                <w:sz w:val="18"/>
                                <w:szCs w:val="18"/>
                                <w:lang w:val="en-US"/>
                              </w:rPr>
                              <w:t>Calcein-labelled purified neutrophils (n=5) from healthy donors were incubated with pHrodo-labelled myelin debris, whereby fluorescent images were generated every hour for 24 h with the IncuCyte imaging system. Viability of human neutrophils (calcein green positive cells) in buffer conditions (PBS) and after addition of cytokines (50 ng/mL TNF-α, 10 ng/mL IFN-γ and 10 ng/mL IL-1β) over 24 h, analyzed with the IncuCyte imaging system. Normally distributed data are represented as the mean ± SEM. HI serum: heat-inactivated</w:t>
                            </w:r>
                            <w:r>
                              <w:rPr>
                                <w:rFonts w:ascii="Aptos Narrow" w:eastAsia="+mn-ea" w:hAnsi="Aptos Narrow" w:cs="Arial"/>
                                <w:color w:val="000000"/>
                                <w:kern w:val="24"/>
                                <w:sz w:val="18"/>
                                <w:szCs w:val="18"/>
                                <w:lang w:val="en-US"/>
                              </w:rPr>
                              <w:t xml:space="preserve"> serum</w:t>
                            </w:r>
                            <w:r w:rsidRPr="00C3407F">
                              <w:rPr>
                                <w:rFonts w:ascii="Aptos Narrow" w:eastAsia="+mn-ea" w:hAnsi="Aptos Narrow" w:cs="Arial"/>
                                <w:color w:val="000000"/>
                                <w:kern w:val="24"/>
                                <w:sz w:val="18"/>
                                <w:szCs w:val="18"/>
                                <w:lang w:val="en-US"/>
                              </w:rPr>
                              <w:t>.</w:t>
                            </w:r>
                          </w:p>
                          <w:p w14:paraId="0A90E43D" w14:textId="77777777" w:rsidR="0037138B" w:rsidRDefault="0037138B" w:rsidP="0037138B">
                            <w:pPr>
                              <w:spacing w:before="150" w:line="215" w:lineRule="auto"/>
                              <w:jc w:val="both"/>
                              <w:textDirection w:val="btL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5BCD5FD8" id="Rectangle 1806006720" o:spid="_x0000_s1027" style="position:absolute;margin-left:-9.3pt;margin-top:123.75pt;width:467.8pt;height:70.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" filled="f" stroked="f">
                <v:textbox inset="2.53958mm,1.2694mm,2.53958mm,1.2694mm">
                  <w:txbxContent>
                    <w:p w14:paraId="47A7C72D" w14:textId="77777777" w:rsidR="0037138B" w:rsidRPr="00C3407F" w:rsidRDefault="0037138B" w:rsidP="0037138B">
                      <w:pPr>
                        <w:spacing w:after="0" w:line="240" w:lineRule="auto"/>
                        <w:jc w:val="both"/>
                        <w:rPr>
                          <w:rFonts w:ascii="Times New Roman" w:eastAsia="Times New Roman" w:hAnsi="Times New Roman" w:cs="Times New Roman"/>
                          <w:sz w:val="24"/>
                          <w:szCs w:val="24"/>
                          <w:lang w:val="en-AU"/>
                        </w:rPr>
                      </w:pPr>
                      <w:r w:rsidRPr="00C3407F">
                        <w:rPr>
                          <w:rFonts w:ascii="Aptos Narrow" w:eastAsia="+mn-ea" w:hAnsi="Aptos Narrow" w:cs="Arial"/>
                          <w:b/>
                          <w:bCs/>
                          <w:color w:val="000000"/>
                          <w:kern w:val="24"/>
                          <w:sz w:val="18"/>
                          <w:szCs w:val="18"/>
                          <w:lang w:val="en-US"/>
                        </w:rPr>
                        <w:t xml:space="preserve">Supplementary figure </w:t>
                      </w:r>
                      <w:r>
                        <w:rPr>
                          <w:rFonts w:ascii="Aptos Narrow" w:eastAsia="+mn-ea" w:hAnsi="Aptos Narrow" w:cs="Arial"/>
                          <w:b/>
                          <w:bCs/>
                          <w:color w:val="000000"/>
                          <w:kern w:val="24"/>
                          <w:sz w:val="18"/>
                          <w:szCs w:val="18"/>
                          <w:lang w:val="en-US"/>
                        </w:rPr>
                        <w:t>2</w:t>
                      </w:r>
                      <w:r w:rsidRPr="00C3407F">
                        <w:rPr>
                          <w:rFonts w:ascii="Aptos Narrow" w:eastAsia="+mn-ea" w:hAnsi="Aptos Narrow" w:cs="Arial"/>
                          <w:b/>
                          <w:bCs/>
                          <w:color w:val="000000"/>
                          <w:kern w:val="24"/>
                          <w:sz w:val="18"/>
                          <w:szCs w:val="18"/>
                          <w:lang w:val="en-US"/>
                        </w:rPr>
                        <w:t xml:space="preserve"> | Effect of opsonized myelin on neutrophil viability over time. </w:t>
                      </w:r>
                      <w:r w:rsidRPr="00C3407F">
                        <w:rPr>
                          <w:rFonts w:ascii="Aptos Narrow" w:eastAsia="+mn-ea" w:hAnsi="Aptos Narrow" w:cs="Arial"/>
                          <w:color w:val="000000"/>
                          <w:kern w:val="24"/>
                          <w:sz w:val="18"/>
                          <w:szCs w:val="18"/>
                          <w:lang w:val="en-US"/>
                        </w:rPr>
                        <w:t>Calcein-labelled purified neutrophils (n=5) from healthy donors were incubated with pHrodo-labelled myelin debris, whereby fluorescent images were generated every hour for 24 h with the IncuCyte imaging system. Viability of human neutrophils (calcein green positive cells) in buffer conditions (PBS) and after addition of cytokines (50 ng/mL TNF-α, 10 ng/mL IFN-γ and 10 ng/mL IL-1β) over 24 h, analyzed with the IncuCyte imaging system. Normally distributed data are represented as the mean ± SEM. HI serum: heat-inactivated</w:t>
                      </w:r>
                      <w:r>
                        <w:rPr>
                          <w:rFonts w:ascii="Aptos Narrow" w:eastAsia="+mn-ea" w:hAnsi="Aptos Narrow" w:cs="Arial"/>
                          <w:color w:val="000000"/>
                          <w:kern w:val="24"/>
                          <w:sz w:val="18"/>
                          <w:szCs w:val="18"/>
                          <w:lang w:val="en-US"/>
                        </w:rPr>
                        <w:t xml:space="preserve"> serum</w:t>
                      </w:r>
                      <w:r w:rsidRPr="00C3407F">
                        <w:rPr>
                          <w:rFonts w:ascii="Aptos Narrow" w:eastAsia="+mn-ea" w:hAnsi="Aptos Narrow" w:cs="Arial"/>
                          <w:color w:val="000000"/>
                          <w:kern w:val="24"/>
                          <w:sz w:val="18"/>
                          <w:szCs w:val="18"/>
                          <w:lang w:val="en-US"/>
                        </w:rPr>
                        <w:t>.</w:t>
                      </w:r>
                    </w:p>
                    <w:p w14:paraId="0A90E43D" w14:textId="77777777" w:rsidR="0037138B" w:rsidRDefault="0037138B" w:rsidP="0037138B">
                      <w:pPr>
                        <w:spacing w:before="150" w:line="215" w:lineRule="auto"/>
                        <w:jc w:val="both"/>
                        <w:textDirection w:val="btLr"/>
                      </w:pPr>
                    </w:p>
                  </w:txbxContent>
                </v:textbox>
                <w10:wrap type="topAndBottom"/>
              </v:rect>
            </w:pict>
          </mc:Fallback>
        </mc:AlternateContent>
      </w:r>
      <w:r w:rsidRPr="001613CA">
        <w:rPr>
          <w:rFonts w:ascii="Aptos Narrow" w:eastAsia="Aptos Narrow" w:hAnsi="Aptos Narrow" w:cs="Aptos Narrow"/>
          <w:noProof/>
          <w:color w:val="000000"/>
          <w:lang w:val="en-AU"/>
        </w:rPr>
        <w:drawing>
          <wp:inline distT="0" distB="0" distL="0" distR="0" wp14:anchorId="46CDE523" wp14:editId="63DC438F">
            <wp:extent cx="5760720" cy="1496695"/>
            <wp:effectExtent l="0" t="0" r="0" b="0"/>
            <wp:docPr id="263330589" name="Picture 8" descr="A blue and red dotted line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330589" name="Picture 8" descr="A blue and red dotted line  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1496695"/>
                    </a:xfrm>
                    <a:prstGeom prst="rect">
                      <a:avLst/>
                    </a:prstGeom>
                    <a:noFill/>
                    <a:ln>
                      <a:noFill/>
                    </a:ln>
                  </pic:spPr>
                </pic:pic>
              </a:graphicData>
            </a:graphic>
          </wp:inline>
        </w:drawing>
      </w:r>
    </w:p>
    <w:p w14:paraId="013714AB" w14:textId="77777777" w:rsidR="0037138B" w:rsidRDefault="0037138B" w:rsidP="0037138B">
      <w:pPr>
        <w:suppressLineNumbers/>
        <w:spacing w:line="480" w:lineRule="auto"/>
        <w:rPr>
          <w:rFonts w:ascii="Aptos Narrow" w:eastAsia="Aptos Narrow" w:hAnsi="Aptos Narrow" w:cs="Aptos Narrow"/>
          <w:color w:val="000000"/>
        </w:rPr>
      </w:pPr>
    </w:p>
    <w:p w14:paraId="39208DB5" w14:textId="77777777" w:rsidR="0037138B" w:rsidRPr="003C2839" w:rsidRDefault="0037138B" w:rsidP="0037138B">
      <w:pPr>
        <w:suppressLineNumbers/>
        <w:spacing w:line="480" w:lineRule="auto"/>
        <w:jc w:val="center"/>
        <w:rPr>
          <w:rFonts w:ascii="Aptos Narrow" w:eastAsia="Aptos Narrow" w:hAnsi="Aptos Narrow" w:cs="Aptos Narrow"/>
          <w:color w:val="000000"/>
          <w:lang w:val="en-AU"/>
        </w:rPr>
      </w:pPr>
      <w:r w:rsidRPr="00E3284A">
        <w:rPr>
          <w:rFonts w:ascii="Aptos Narrow" w:hAnsi="Aptos Narrow"/>
          <w:noProof/>
        </w:rPr>
        <mc:AlternateContent>
          <mc:Choice Requires="wps">
            <w:drawing>
              <wp:anchor distT="0" distB="0" distL="114300" distR="114300" simplePos="0" relativeHeight="251661312" behindDoc="0" locked="0" layoutInCell="1" hidden="0" allowOverlap="1" wp14:anchorId="1418A89B" wp14:editId="11090C1E">
                <wp:simplePos x="0" y="0"/>
                <wp:positionH relativeFrom="column">
                  <wp:posOffset>-55659</wp:posOffset>
                </wp:positionH>
                <wp:positionV relativeFrom="paragraph">
                  <wp:posOffset>2482684</wp:posOffset>
                </wp:positionV>
                <wp:extent cx="5941060" cy="895350"/>
                <wp:effectExtent l="0" t="0" r="0" b="0"/>
                <wp:wrapTopAndBottom distT="0" distB="0"/>
                <wp:docPr id="85593353" name="Rectangle 85593353"/>
                <wp:cNvGraphicFramePr/>
                <a:graphic xmlns:a="http://schemas.openxmlformats.org/drawingml/2006/main">
                  <a:graphicData uri="http://schemas.microsoft.com/office/word/2010/wordprocessingShape">
                    <wps:wsp>
                      <wps:cNvSpPr/>
                      <wps:spPr>
                        <a:xfrm>
                          <a:off x="0" y="0"/>
                          <a:ext cx="5941060" cy="895350"/>
                        </a:xfrm>
                        <a:prstGeom prst="rect">
                          <a:avLst/>
                        </a:prstGeom>
                        <a:noFill/>
                        <a:ln>
                          <a:noFill/>
                        </a:ln>
                      </wps:spPr>
                      <wps:txbx>
                        <w:txbxContent>
                          <w:p w14:paraId="11FB2809" w14:textId="77777777" w:rsidR="0037138B" w:rsidRPr="00811844" w:rsidRDefault="0037138B" w:rsidP="0037138B">
                            <w:pPr>
                              <w:spacing w:after="0" w:line="240" w:lineRule="auto"/>
                              <w:jc w:val="both"/>
                              <w:rPr>
                                <w:rFonts w:ascii="Times New Roman" w:eastAsia="Times New Roman" w:hAnsi="Times New Roman" w:cs="Times New Roman"/>
                                <w:sz w:val="24"/>
                                <w:szCs w:val="24"/>
                                <w:lang w:val="en-AU"/>
                              </w:rPr>
                            </w:pPr>
                            <w:r w:rsidRPr="00811844">
                              <w:rPr>
                                <w:rFonts w:ascii="Aptos Narrow" w:eastAsia="+mn-ea" w:hAnsi="Aptos Narrow" w:cs="Arial"/>
                                <w:b/>
                                <w:bCs/>
                                <w:color w:val="000000"/>
                                <w:kern w:val="24"/>
                                <w:sz w:val="18"/>
                                <w:szCs w:val="18"/>
                                <w:lang w:val="en-US"/>
                              </w:rPr>
                              <w:t xml:space="preserve">Supplementary figure </w:t>
                            </w:r>
                            <w:r>
                              <w:rPr>
                                <w:rFonts w:ascii="Aptos Narrow" w:eastAsia="+mn-ea" w:hAnsi="Aptos Narrow" w:cs="Arial"/>
                                <w:b/>
                                <w:bCs/>
                                <w:color w:val="000000"/>
                                <w:kern w:val="24"/>
                                <w:sz w:val="18"/>
                                <w:szCs w:val="18"/>
                                <w:lang w:val="en-US"/>
                              </w:rPr>
                              <w:t>3</w:t>
                            </w:r>
                            <w:r w:rsidRPr="00811844">
                              <w:rPr>
                                <w:rFonts w:ascii="Aptos Narrow" w:eastAsia="+mn-ea" w:hAnsi="Aptos Narrow" w:cs="Arial"/>
                                <w:b/>
                                <w:bCs/>
                                <w:color w:val="000000"/>
                                <w:kern w:val="24"/>
                                <w:sz w:val="18"/>
                                <w:szCs w:val="18"/>
                                <w:lang w:val="en-US"/>
                              </w:rPr>
                              <w:t xml:space="preserve"> | Blocking Fc receptors does not impact myelin phagocytosis. </w:t>
                            </w:r>
                            <w:r w:rsidRPr="00811844">
                              <w:rPr>
                                <w:rFonts w:ascii="Aptos Narrow" w:eastAsia="+mn-ea" w:hAnsi="Aptos Narrow" w:cs="Arial"/>
                                <w:color w:val="000000"/>
                                <w:kern w:val="24"/>
                                <w:sz w:val="18"/>
                                <w:szCs w:val="18"/>
                                <w:lang w:val="en-US"/>
                              </w:rPr>
                              <w:t xml:space="preserve">Myelin phagocytosis assays with healthy, human neutrophils (n=4) were performed as previously described. Thereby, human neutrophils were pre-treated for 15 min with buffer (control) or IgG antibodies (100 µg/mL) to block Fc receptors. The percentage phagocytosis was calculated as previously described. Normally distributed data are represented as the mean ± SEM. Data were analyzed using the paired Student’s t-test. IgG: Immunoglobulin G, HI serum: heat-inactivated </w:t>
                            </w:r>
                            <w:r>
                              <w:rPr>
                                <w:rFonts w:ascii="Aptos Narrow" w:eastAsia="+mn-ea" w:hAnsi="Aptos Narrow" w:cs="Arial"/>
                                <w:color w:val="000000"/>
                                <w:kern w:val="24"/>
                                <w:sz w:val="18"/>
                                <w:szCs w:val="18"/>
                                <w:lang w:val="en-US"/>
                              </w:rPr>
                              <w:t>s</w:t>
                            </w:r>
                            <w:r w:rsidRPr="00811844">
                              <w:rPr>
                                <w:rFonts w:ascii="Aptos Narrow" w:eastAsia="+mn-ea" w:hAnsi="Aptos Narrow" w:cs="Arial"/>
                                <w:color w:val="000000"/>
                                <w:kern w:val="24"/>
                                <w:sz w:val="18"/>
                                <w:szCs w:val="18"/>
                                <w:lang w:val="en-US"/>
                              </w:rPr>
                              <w:t>erum.</w:t>
                            </w:r>
                          </w:p>
                          <w:p w14:paraId="6B3B8E73" w14:textId="77777777" w:rsidR="0037138B" w:rsidRDefault="0037138B" w:rsidP="0037138B">
                            <w:pPr>
                              <w:spacing w:before="150" w:line="215" w:lineRule="auto"/>
                              <w:jc w:val="both"/>
                              <w:textDirection w:val="btL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1418A89B" id="Rectangle 85593353" o:spid="_x0000_s1028" style="position:absolute;left:0;text-align:left;margin-left:-4.4pt;margin-top:195.5pt;width:467.8pt;height:70.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" filled="f" stroked="f">
                <v:textbox inset="2.53958mm,1.2694mm,2.53958mm,1.2694mm">
                  <w:txbxContent>
                    <w:p w14:paraId="11FB2809" w14:textId="77777777" w:rsidR="0037138B" w:rsidRPr="00811844" w:rsidRDefault="0037138B" w:rsidP="0037138B">
                      <w:pPr>
                        <w:spacing w:after="0" w:line="240" w:lineRule="auto"/>
                        <w:jc w:val="both"/>
                        <w:rPr>
                          <w:rFonts w:ascii="Times New Roman" w:eastAsia="Times New Roman" w:hAnsi="Times New Roman" w:cs="Times New Roman"/>
                          <w:sz w:val="24"/>
                          <w:szCs w:val="24"/>
                          <w:lang w:val="en-AU"/>
                        </w:rPr>
                      </w:pPr>
                      <w:r w:rsidRPr="00811844">
                        <w:rPr>
                          <w:rFonts w:ascii="Aptos Narrow" w:eastAsia="+mn-ea" w:hAnsi="Aptos Narrow" w:cs="Arial"/>
                          <w:b/>
                          <w:bCs/>
                          <w:color w:val="000000"/>
                          <w:kern w:val="24"/>
                          <w:sz w:val="18"/>
                          <w:szCs w:val="18"/>
                          <w:lang w:val="en-US"/>
                        </w:rPr>
                        <w:t xml:space="preserve">Supplementary figure </w:t>
                      </w:r>
                      <w:r>
                        <w:rPr>
                          <w:rFonts w:ascii="Aptos Narrow" w:eastAsia="+mn-ea" w:hAnsi="Aptos Narrow" w:cs="Arial"/>
                          <w:b/>
                          <w:bCs/>
                          <w:color w:val="000000"/>
                          <w:kern w:val="24"/>
                          <w:sz w:val="18"/>
                          <w:szCs w:val="18"/>
                          <w:lang w:val="en-US"/>
                        </w:rPr>
                        <w:t>3</w:t>
                      </w:r>
                      <w:r w:rsidRPr="00811844">
                        <w:rPr>
                          <w:rFonts w:ascii="Aptos Narrow" w:eastAsia="+mn-ea" w:hAnsi="Aptos Narrow" w:cs="Arial"/>
                          <w:b/>
                          <w:bCs/>
                          <w:color w:val="000000"/>
                          <w:kern w:val="24"/>
                          <w:sz w:val="18"/>
                          <w:szCs w:val="18"/>
                          <w:lang w:val="en-US"/>
                        </w:rPr>
                        <w:t xml:space="preserve"> | Blocking Fc receptors does not impact myelin phagocytosis. </w:t>
                      </w:r>
                      <w:r w:rsidRPr="00811844">
                        <w:rPr>
                          <w:rFonts w:ascii="Aptos Narrow" w:eastAsia="+mn-ea" w:hAnsi="Aptos Narrow" w:cs="Arial"/>
                          <w:color w:val="000000"/>
                          <w:kern w:val="24"/>
                          <w:sz w:val="18"/>
                          <w:szCs w:val="18"/>
                          <w:lang w:val="en-US"/>
                        </w:rPr>
                        <w:t xml:space="preserve">Myelin phagocytosis assays with healthy, human neutrophils (n=4) were performed as previously described. Thereby, human neutrophils were pre-treated for 15 min with buffer (control) or IgG antibodies (100 µg/mL) to block Fc receptors. The percentage phagocytosis was calculated as previously described. Normally distributed data are represented as the mean ± SEM. Data were analyzed using the paired Student’s t-test. IgG: Immunoglobulin G, HI serum: heat-inactivated </w:t>
                      </w:r>
                      <w:r>
                        <w:rPr>
                          <w:rFonts w:ascii="Aptos Narrow" w:eastAsia="+mn-ea" w:hAnsi="Aptos Narrow" w:cs="Arial"/>
                          <w:color w:val="000000"/>
                          <w:kern w:val="24"/>
                          <w:sz w:val="18"/>
                          <w:szCs w:val="18"/>
                          <w:lang w:val="en-US"/>
                        </w:rPr>
                        <w:t>s</w:t>
                      </w:r>
                      <w:r w:rsidRPr="00811844">
                        <w:rPr>
                          <w:rFonts w:ascii="Aptos Narrow" w:eastAsia="+mn-ea" w:hAnsi="Aptos Narrow" w:cs="Arial"/>
                          <w:color w:val="000000"/>
                          <w:kern w:val="24"/>
                          <w:sz w:val="18"/>
                          <w:szCs w:val="18"/>
                          <w:lang w:val="en-US"/>
                        </w:rPr>
                        <w:t>erum.</w:t>
                      </w:r>
                    </w:p>
                    <w:p w14:paraId="6B3B8E73" w14:textId="77777777" w:rsidR="0037138B" w:rsidRDefault="0037138B" w:rsidP="0037138B">
                      <w:pPr>
                        <w:spacing w:before="150" w:line="215" w:lineRule="auto"/>
                        <w:jc w:val="both"/>
                        <w:textDirection w:val="btLr"/>
                      </w:pPr>
                    </w:p>
                  </w:txbxContent>
                </v:textbox>
                <w10:wrap type="topAndBottom"/>
              </v:rect>
            </w:pict>
          </mc:Fallback>
        </mc:AlternateContent>
      </w:r>
      <w:r w:rsidRPr="003C2839">
        <w:rPr>
          <w:rFonts w:ascii="Aptos Narrow" w:eastAsia="Aptos Narrow" w:hAnsi="Aptos Narrow" w:cs="Aptos Narrow"/>
          <w:noProof/>
          <w:color w:val="000000"/>
          <w:lang w:val="en-AU"/>
        </w:rPr>
        <w:drawing>
          <wp:inline distT="0" distB="0" distL="0" distR="0" wp14:anchorId="23228B28" wp14:editId="7F41301B">
            <wp:extent cx="4396746" cy="2460569"/>
            <wp:effectExtent l="0" t="0" r="0" b="0"/>
            <wp:docPr id="817636416" name="Picture 10" descr="A graph of different colored rectangular shape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636416" name="Picture 10" descr="A graph of different colored rectangular shapes  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16805" cy="2471795"/>
                    </a:xfrm>
                    <a:prstGeom prst="rect">
                      <a:avLst/>
                    </a:prstGeom>
                    <a:noFill/>
                    <a:ln>
                      <a:noFill/>
                    </a:ln>
                  </pic:spPr>
                </pic:pic>
              </a:graphicData>
            </a:graphic>
          </wp:inline>
        </w:drawing>
      </w:r>
    </w:p>
    <w:p w14:paraId="30E92B54" w14:textId="77777777" w:rsidR="0037138B" w:rsidRDefault="0037138B" w:rsidP="0037138B">
      <w:pPr>
        <w:suppressLineNumbers/>
        <w:spacing w:line="480" w:lineRule="auto"/>
        <w:rPr>
          <w:rFonts w:ascii="Aptos Narrow" w:eastAsia="Aptos Narrow" w:hAnsi="Aptos Narrow" w:cs="Aptos Narrow"/>
          <w:color w:val="000000"/>
        </w:rPr>
      </w:pPr>
    </w:p>
    <w:p w14:paraId="7C2FFAE5" w14:textId="77777777" w:rsidR="0037138B" w:rsidRPr="00AB1883" w:rsidRDefault="0037138B" w:rsidP="0037138B">
      <w:pPr>
        <w:suppressLineNumbers/>
        <w:spacing w:line="480" w:lineRule="auto"/>
        <w:rPr>
          <w:rFonts w:ascii="Aptos Narrow" w:eastAsia="Aptos Narrow" w:hAnsi="Aptos Narrow" w:cs="Aptos Narrow"/>
          <w:color w:val="000000"/>
          <w:lang w:val="en-AU"/>
        </w:rPr>
      </w:pPr>
      <w:r w:rsidRPr="00E3284A">
        <w:rPr>
          <w:rFonts w:ascii="Aptos Narrow" w:hAnsi="Aptos Narrow"/>
          <w:noProof/>
        </w:rPr>
        <w:lastRenderedPageBreak/>
        <mc:AlternateContent>
          <mc:Choice Requires="wps">
            <w:drawing>
              <wp:anchor distT="0" distB="0" distL="114300" distR="114300" simplePos="0" relativeHeight="251662336" behindDoc="0" locked="0" layoutInCell="1" hidden="0" allowOverlap="1" wp14:anchorId="02DF6CF4" wp14:editId="50638AE8">
                <wp:simplePos x="0" y="0"/>
                <wp:positionH relativeFrom="column">
                  <wp:posOffset>-114462</wp:posOffset>
                </wp:positionH>
                <wp:positionV relativeFrom="paragraph">
                  <wp:posOffset>4091305</wp:posOffset>
                </wp:positionV>
                <wp:extent cx="5941060" cy="1129030"/>
                <wp:effectExtent l="0" t="0" r="0" b="0"/>
                <wp:wrapTopAndBottom distT="0" distB="0"/>
                <wp:docPr id="1818913696" name="Rectangle 1818913696"/>
                <wp:cNvGraphicFramePr/>
                <a:graphic xmlns:a="http://schemas.openxmlformats.org/drawingml/2006/main">
                  <a:graphicData uri="http://schemas.microsoft.com/office/word/2010/wordprocessingShape">
                    <wps:wsp>
                      <wps:cNvSpPr/>
                      <wps:spPr>
                        <a:xfrm>
                          <a:off x="0" y="0"/>
                          <a:ext cx="5941060" cy="1129030"/>
                        </a:xfrm>
                        <a:prstGeom prst="rect">
                          <a:avLst/>
                        </a:prstGeom>
                        <a:noFill/>
                        <a:ln>
                          <a:noFill/>
                        </a:ln>
                      </wps:spPr>
                      <wps:txbx>
                        <w:txbxContent>
                          <w:p w14:paraId="0AD39B2D" w14:textId="77777777" w:rsidR="0037138B" w:rsidRPr="00AB1883" w:rsidRDefault="0037138B" w:rsidP="0037138B">
                            <w:pPr>
                              <w:spacing w:before="150" w:line="216" w:lineRule="auto"/>
                              <w:jc w:val="both"/>
                              <w:rPr>
                                <w:rFonts w:ascii="Times New Roman" w:eastAsia="Times New Roman" w:hAnsi="Times New Roman" w:cs="Times New Roman"/>
                                <w:sz w:val="24"/>
                                <w:szCs w:val="24"/>
                                <w:lang w:val="en-AU"/>
                              </w:rPr>
                            </w:pPr>
                            <w:r w:rsidRPr="00AB1883">
                              <w:rPr>
                                <w:rFonts w:ascii="Aptos Narrow" w:eastAsia="+mn-ea" w:hAnsi="Aptos Narrow" w:cs="Arial"/>
                                <w:b/>
                                <w:bCs/>
                                <w:color w:val="000000"/>
                                <w:kern w:val="24"/>
                                <w:sz w:val="18"/>
                                <w:szCs w:val="18"/>
                                <w:lang w:val="en-US"/>
                              </w:rPr>
                              <w:t xml:space="preserve">Supplementary figure </w:t>
                            </w:r>
                            <w:r>
                              <w:rPr>
                                <w:rFonts w:ascii="Aptos Narrow" w:eastAsia="+mn-ea" w:hAnsi="Aptos Narrow" w:cs="Arial"/>
                                <w:b/>
                                <w:bCs/>
                                <w:color w:val="000000"/>
                                <w:kern w:val="24"/>
                                <w:sz w:val="18"/>
                                <w:szCs w:val="18"/>
                                <w:lang w:val="en-US"/>
                              </w:rPr>
                              <w:t>4</w:t>
                            </w:r>
                            <w:r w:rsidRPr="00AB1883">
                              <w:rPr>
                                <w:rFonts w:ascii="Aptos Narrow" w:eastAsia="+mn-ea" w:hAnsi="Aptos Narrow" w:cs="Arial"/>
                                <w:b/>
                                <w:bCs/>
                                <w:color w:val="000000"/>
                                <w:kern w:val="24"/>
                                <w:sz w:val="18"/>
                                <w:szCs w:val="18"/>
                                <w:lang w:val="en-US"/>
                              </w:rPr>
                              <w:t xml:space="preserve"> | Gene expression levels in human neutrophils after 6 or 12 hours of cytokine stimulation. </w:t>
                            </w:r>
                            <w:r w:rsidRPr="00AB1883">
                              <w:rPr>
                                <w:rFonts w:ascii="Aptos Narrow" w:eastAsia="+mn-ea" w:hAnsi="Aptos Narrow" w:cs="Arial"/>
                                <w:color w:val="000000"/>
                                <w:kern w:val="24"/>
                                <w:sz w:val="18"/>
                                <w:szCs w:val="18"/>
                                <w:lang w:val="en-US"/>
                              </w:rPr>
                              <w:t>Human neutrophils (n=4) were incubated for 6 or 12 h with a cytokine mix (50 ng/mL TNF-</w:t>
                            </w:r>
                            <w:r w:rsidRPr="00AB1883">
                              <w:rPr>
                                <w:rFonts w:ascii="Aptos Narrow" w:eastAsia="+mn-ea" w:hAnsi="Aptos Narrow" w:cs="Arial"/>
                                <w:color w:val="000000"/>
                                <w:kern w:val="24"/>
                                <w:sz w:val="18"/>
                                <w:szCs w:val="18"/>
                                <w:lang w:val="el-GR"/>
                              </w:rPr>
                              <w:t>α</w:t>
                            </w:r>
                            <w:r w:rsidRPr="00AB7DF1">
                              <w:rPr>
                                <w:rFonts w:ascii="Aptos Narrow" w:eastAsia="+mn-ea" w:hAnsi="Aptos Narrow" w:cs="Arial"/>
                                <w:color w:val="000000"/>
                                <w:kern w:val="24"/>
                                <w:sz w:val="18"/>
                                <w:szCs w:val="18"/>
                                <w:lang w:val="en-US"/>
                              </w:rPr>
                              <w:t xml:space="preserve">, 10 </w:t>
                            </w:r>
                            <w:r w:rsidRPr="00AB1883">
                              <w:rPr>
                                <w:rFonts w:ascii="Aptos Narrow" w:eastAsia="+mn-ea" w:hAnsi="Aptos Narrow" w:cs="Arial"/>
                                <w:color w:val="000000"/>
                                <w:kern w:val="24"/>
                                <w:sz w:val="18"/>
                                <w:szCs w:val="18"/>
                                <w:lang w:val="en-US"/>
                              </w:rPr>
                              <w:t>ng</w:t>
                            </w:r>
                            <w:r w:rsidRPr="00AB7DF1">
                              <w:rPr>
                                <w:rFonts w:ascii="Aptos Narrow" w:eastAsia="+mn-ea" w:hAnsi="Aptos Narrow" w:cs="Arial"/>
                                <w:color w:val="000000"/>
                                <w:kern w:val="24"/>
                                <w:sz w:val="18"/>
                                <w:szCs w:val="18"/>
                                <w:lang w:val="en-US"/>
                              </w:rPr>
                              <w:t>/mL IFN-</w:t>
                            </w:r>
                            <w:r w:rsidRPr="00AB1883">
                              <w:rPr>
                                <w:rFonts w:ascii="Aptos Narrow" w:eastAsia="+mn-ea" w:hAnsi="Aptos Narrow" w:cs="Arial"/>
                                <w:color w:val="000000"/>
                                <w:kern w:val="24"/>
                                <w:sz w:val="18"/>
                                <w:szCs w:val="18"/>
                                <w:lang w:val="el-GR"/>
                              </w:rPr>
                              <w:t>γ</w:t>
                            </w:r>
                            <w:r w:rsidRPr="00AB7DF1">
                              <w:rPr>
                                <w:rFonts w:ascii="Aptos Narrow" w:eastAsia="+mn-ea" w:hAnsi="Aptos Narrow" w:cs="Arial"/>
                                <w:color w:val="000000"/>
                                <w:kern w:val="24"/>
                                <w:sz w:val="18"/>
                                <w:szCs w:val="18"/>
                                <w:lang w:val="en-US"/>
                              </w:rPr>
                              <w:t xml:space="preserve"> and 10 ng/mL IL-1</w:t>
                            </w:r>
                            <w:r w:rsidRPr="00AB1883">
                              <w:rPr>
                                <w:rFonts w:ascii="Aptos Narrow" w:eastAsia="+mn-ea" w:hAnsi="Aptos Narrow" w:cs="Arial"/>
                                <w:color w:val="000000"/>
                                <w:kern w:val="24"/>
                                <w:sz w:val="18"/>
                                <w:szCs w:val="18"/>
                                <w:lang w:val="nl-BE"/>
                              </w:rPr>
                              <w:t>β</w:t>
                            </w:r>
                            <w:r w:rsidRPr="00AB7DF1">
                              <w:rPr>
                                <w:rFonts w:ascii="Aptos Narrow" w:eastAsia="+mn-ea" w:hAnsi="Aptos Narrow" w:cs="Arial"/>
                                <w:color w:val="000000"/>
                                <w:kern w:val="24"/>
                                <w:sz w:val="18"/>
                                <w:szCs w:val="18"/>
                                <w:lang w:val="en-US"/>
                              </w:rPr>
                              <w:t xml:space="preserve">) or RPMI (buffer). Afterwards, mRNA was isolated and qPCR was performed. </w:t>
                            </w:r>
                            <w:r w:rsidRPr="00AB1883">
                              <w:rPr>
                                <w:rFonts w:ascii="Aptos Narrow" w:hAnsi="Aptos Narrow" w:cs="Arial"/>
                                <w:color w:val="000000"/>
                                <w:kern w:val="24"/>
                                <w:sz w:val="18"/>
                                <w:szCs w:val="18"/>
                                <w:lang w:val="en-US"/>
                              </w:rPr>
                              <w:t xml:space="preserve">Data were normalized to the expression of the housekeeping gene 18S and are represented as fold change relative to </w:t>
                            </w:r>
                            <w:r w:rsidRPr="00AB7DF1">
                              <w:rPr>
                                <w:rFonts w:ascii="Aptos Narrow" w:eastAsia="+mn-ea" w:hAnsi="Aptos Narrow" w:cs="Arial"/>
                                <w:color w:val="000000"/>
                                <w:kern w:val="24"/>
                                <w:sz w:val="18"/>
                                <w:szCs w:val="18"/>
                                <w:lang w:val="en-US"/>
                              </w:rPr>
                              <w:t>buffer-stimulated neutrophils, and are represented as the mean ± SEM. Normally distributed data were analyzed using the one-sample Student’s t-test, with comparison value set at 1; *p&lt;0.05, **p&lt;0.01,***p&lt;0.001.</w:t>
                            </w:r>
                          </w:p>
                          <w:p w14:paraId="72F4CA09" w14:textId="77777777" w:rsidR="0037138B" w:rsidRDefault="0037138B" w:rsidP="0037138B">
                            <w:pPr>
                              <w:spacing w:before="150" w:line="215" w:lineRule="auto"/>
                              <w:jc w:val="both"/>
                              <w:textDirection w:val="btL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02DF6CF4" id="Rectangle 1818913696" o:spid="_x0000_s1029" style="position:absolute;margin-left:-9pt;margin-top:322.15pt;width:467.8pt;height:88.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" filled="f" stroked="f">
                <v:textbox inset="2.53958mm,1.2694mm,2.53958mm,1.2694mm">
                  <w:txbxContent>
                    <w:p w14:paraId="0AD39B2D" w14:textId="77777777" w:rsidR="0037138B" w:rsidRPr="00AB1883" w:rsidRDefault="0037138B" w:rsidP="0037138B">
                      <w:pPr>
                        <w:spacing w:before="150" w:line="216" w:lineRule="auto"/>
                        <w:jc w:val="both"/>
                        <w:rPr>
                          <w:rFonts w:ascii="Times New Roman" w:eastAsia="Times New Roman" w:hAnsi="Times New Roman" w:cs="Times New Roman"/>
                          <w:sz w:val="24"/>
                          <w:szCs w:val="24"/>
                          <w:lang w:val="en-AU"/>
                        </w:rPr>
                      </w:pPr>
                      <w:r w:rsidRPr="00AB1883">
                        <w:rPr>
                          <w:rFonts w:ascii="Aptos Narrow" w:eastAsia="+mn-ea" w:hAnsi="Aptos Narrow" w:cs="Arial"/>
                          <w:b/>
                          <w:bCs/>
                          <w:color w:val="000000"/>
                          <w:kern w:val="24"/>
                          <w:sz w:val="18"/>
                          <w:szCs w:val="18"/>
                          <w:lang w:val="en-US"/>
                        </w:rPr>
                        <w:t xml:space="preserve">Supplementary figure </w:t>
                      </w:r>
                      <w:r>
                        <w:rPr>
                          <w:rFonts w:ascii="Aptos Narrow" w:eastAsia="+mn-ea" w:hAnsi="Aptos Narrow" w:cs="Arial"/>
                          <w:b/>
                          <w:bCs/>
                          <w:color w:val="000000"/>
                          <w:kern w:val="24"/>
                          <w:sz w:val="18"/>
                          <w:szCs w:val="18"/>
                          <w:lang w:val="en-US"/>
                        </w:rPr>
                        <w:t>4</w:t>
                      </w:r>
                      <w:r w:rsidRPr="00AB1883">
                        <w:rPr>
                          <w:rFonts w:ascii="Aptos Narrow" w:eastAsia="+mn-ea" w:hAnsi="Aptos Narrow" w:cs="Arial"/>
                          <w:b/>
                          <w:bCs/>
                          <w:color w:val="000000"/>
                          <w:kern w:val="24"/>
                          <w:sz w:val="18"/>
                          <w:szCs w:val="18"/>
                          <w:lang w:val="en-US"/>
                        </w:rPr>
                        <w:t xml:space="preserve"> | Gene expression levels in human neutrophils after 6 or 12 hours of cytokine stimulation. </w:t>
                      </w:r>
                      <w:r w:rsidRPr="00AB1883">
                        <w:rPr>
                          <w:rFonts w:ascii="Aptos Narrow" w:eastAsia="+mn-ea" w:hAnsi="Aptos Narrow" w:cs="Arial"/>
                          <w:color w:val="000000"/>
                          <w:kern w:val="24"/>
                          <w:sz w:val="18"/>
                          <w:szCs w:val="18"/>
                          <w:lang w:val="en-US"/>
                        </w:rPr>
                        <w:t>Human neutrophils (n=4) were incubated for 6 or 12 h with a cytokine mix (50 ng/mL TNF-</w:t>
                      </w:r>
                      <w:r w:rsidRPr="00AB1883">
                        <w:rPr>
                          <w:rFonts w:ascii="Aptos Narrow" w:eastAsia="+mn-ea" w:hAnsi="Aptos Narrow" w:cs="Arial"/>
                          <w:color w:val="000000"/>
                          <w:kern w:val="24"/>
                          <w:sz w:val="18"/>
                          <w:szCs w:val="18"/>
                          <w:lang w:val="el-GR"/>
                        </w:rPr>
                        <w:t>α</w:t>
                      </w:r>
                      <w:r w:rsidRPr="00AB7DF1">
                        <w:rPr>
                          <w:rFonts w:ascii="Aptos Narrow" w:eastAsia="+mn-ea" w:hAnsi="Aptos Narrow" w:cs="Arial"/>
                          <w:color w:val="000000"/>
                          <w:kern w:val="24"/>
                          <w:sz w:val="18"/>
                          <w:szCs w:val="18"/>
                          <w:lang w:val="en-US"/>
                        </w:rPr>
                        <w:t xml:space="preserve">, 10 </w:t>
                      </w:r>
                      <w:r w:rsidRPr="00AB1883">
                        <w:rPr>
                          <w:rFonts w:ascii="Aptos Narrow" w:eastAsia="+mn-ea" w:hAnsi="Aptos Narrow" w:cs="Arial"/>
                          <w:color w:val="000000"/>
                          <w:kern w:val="24"/>
                          <w:sz w:val="18"/>
                          <w:szCs w:val="18"/>
                          <w:lang w:val="en-US"/>
                        </w:rPr>
                        <w:t>ng</w:t>
                      </w:r>
                      <w:r w:rsidRPr="00AB7DF1">
                        <w:rPr>
                          <w:rFonts w:ascii="Aptos Narrow" w:eastAsia="+mn-ea" w:hAnsi="Aptos Narrow" w:cs="Arial"/>
                          <w:color w:val="000000"/>
                          <w:kern w:val="24"/>
                          <w:sz w:val="18"/>
                          <w:szCs w:val="18"/>
                          <w:lang w:val="en-US"/>
                        </w:rPr>
                        <w:t>/mL IFN-</w:t>
                      </w:r>
                      <w:r w:rsidRPr="00AB1883">
                        <w:rPr>
                          <w:rFonts w:ascii="Aptos Narrow" w:eastAsia="+mn-ea" w:hAnsi="Aptos Narrow" w:cs="Arial"/>
                          <w:color w:val="000000"/>
                          <w:kern w:val="24"/>
                          <w:sz w:val="18"/>
                          <w:szCs w:val="18"/>
                          <w:lang w:val="el-GR"/>
                        </w:rPr>
                        <w:t>γ</w:t>
                      </w:r>
                      <w:r w:rsidRPr="00AB7DF1">
                        <w:rPr>
                          <w:rFonts w:ascii="Aptos Narrow" w:eastAsia="+mn-ea" w:hAnsi="Aptos Narrow" w:cs="Arial"/>
                          <w:color w:val="000000"/>
                          <w:kern w:val="24"/>
                          <w:sz w:val="18"/>
                          <w:szCs w:val="18"/>
                          <w:lang w:val="en-US"/>
                        </w:rPr>
                        <w:t xml:space="preserve"> and 10 ng/mL IL-1</w:t>
                      </w:r>
                      <w:r w:rsidRPr="00AB1883">
                        <w:rPr>
                          <w:rFonts w:ascii="Aptos Narrow" w:eastAsia="+mn-ea" w:hAnsi="Aptos Narrow" w:cs="Arial"/>
                          <w:color w:val="000000"/>
                          <w:kern w:val="24"/>
                          <w:sz w:val="18"/>
                          <w:szCs w:val="18"/>
                          <w:lang w:val="nl-BE"/>
                        </w:rPr>
                        <w:t>β</w:t>
                      </w:r>
                      <w:r w:rsidRPr="00AB7DF1">
                        <w:rPr>
                          <w:rFonts w:ascii="Aptos Narrow" w:eastAsia="+mn-ea" w:hAnsi="Aptos Narrow" w:cs="Arial"/>
                          <w:color w:val="000000"/>
                          <w:kern w:val="24"/>
                          <w:sz w:val="18"/>
                          <w:szCs w:val="18"/>
                          <w:lang w:val="en-US"/>
                        </w:rPr>
                        <w:t xml:space="preserve">) or RPMI (buffer). Afterwards, mRNA was isolated and qPCR was performed. </w:t>
                      </w:r>
                      <w:r w:rsidRPr="00AB1883">
                        <w:rPr>
                          <w:rFonts w:ascii="Aptos Narrow" w:hAnsi="Aptos Narrow" w:cs="Arial"/>
                          <w:color w:val="000000"/>
                          <w:kern w:val="24"/>
                          <w:sz w:val="18"/>
                          <w:szCs w:val="18"/>
                          <w:lang w:val="en-US"/>
                        </w:rPr>
                        <w:t xml:space="preserve">Data were normalized to the expression of the housekeeping gene 18S and are represented as fold change relative to </w:t>
                      </w:r>
                      <w:r w:rsidRPr="00AB7DF1">
                        <w:rPr>
                          <w:rFonts w:ascii="Aptos Narrow" w:eastAsia="+mn-ea" w:hAnsi="Aptos Narrow" w:cs="Arial"/>
                          <w:color w:val="000000"/>
                          <w:kern w:val="24"/>
                          <w:sz w:val="18"/>
                          <w:szCs w:val="18"/>
                          <w:lang w:val="en-US"/>
                        </w:rPr>
                        <w:t>buffer-stimulated neutrophils, and are represented as the mean ± SEM. Normally distributed data were analyzed using the one-sample Student’s t-test, with comparison value set at 1; *p&lt;0.05, **p&lt;0.01,***p&lt;0.001.</w:t>
                      </w:r>
                    </w:p>
                    <w:p w14:paraId="72F4CA09" w14:textId="77777777" w:rsidR="0037138B" w:rsidRDefault="0037138B" w:rsidP="0037138B">
                      <w:pPr>
                        <w:spacing w:before="150" w:line="215" w:lineRule="auto"/>
                        <w:jc w:val="both"/>
                        <w:textDirection w:val="btLr"/>
                      </w:pPr>
                    </w:p>
                  </w:txbxContent>
                </v:textbox>
                <w10:wrap type="topAndBottom"/>
              </v:rect>
            </w:pict>
          </mc:Fallback>
        </mc:AlternateContent>
      </w:r>
      <w:r w:rsidRPr="00AB1883">
        <w:rPr>
          <w:rFonts w:ascii="Aptos Narrow" w:eastAsia="Aptos Narrow" w:hAnsi="Aptos Narrow" w:cs="Aptos Narrow"/>
          <w:noProof/>
          <w:color w:val="000000"/>
          <w:lang w:val="en-AU"/>
        </w:rPr>
        <w:drawing>
          <wp:inline distT="0" distB="0" distL="0" distR="0" wp14:anchorId="15D4BDF4" wp14:editId="1D87F1B0">
            <wp:extent cx="5760720" cy="4025265"/>
            <wp:effectExtent l="0" t="0" r="0" b="0"/>
            <wp:docPr id="13365465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025265"/>
                    </a:xfrm>
                    <a:prstGeom prst="rect">
                      <a:avLst/>
                    </a:prstGeom>
                    <a:noFill/>
                    <a:ln>
                      <a:noFill/>
                    </a:ln>
                  </pic:spPr>
                </pic:pic>
              </a:graphicData>
            </a:graphic>
          </wp:inline>
        </w:drawing>
      </w:r>
    </w:p>
    <w:p w14:paraId="57B92B09" w14:textId="77777777" w:rsidR="0037138B" w:rsidRPr="00C03EFA" w:rsidRDefault="0037138B" w:rsidP="0037138B">
      <w:pPr>
        <w:suppressLineNumbers/>
        <w:spacing w:line="480" w:lineRule="auto"/>
        <w:rPr>
          <w:rFonts w:ascii="Aptos Narrow" w:eastAsia="Aptos Narrow" w:hAnsi="Aptos Narrow" w:cs="Aptos Narrow"/>
          <w:color w:val="000000"/>
          <w:lang w:val="en-AU"/>
        </w:rPr>
      </w:pPr>
      <w:r w:rsidRPr="00E3284A">
        <w:rPr>
          <w:rFonts w:ascii="Aptos Narrow" w:hAnsi="Aptos Narrow"/>
          <w:noProof/>
        </w:rPr>
        <w:lastRenderedPageBreak/>
        <mc:AlternateContent>
          <mc:Choice Requires="wps">
            <w:drawing>
              <wp:anchor distT="0" distB="0" distL="114300" distR="114300" simplePos="0" relativeHeight="251663360" behindDoc="0" locked="0" layoutInCell="1" hidden="0" allowOverlap="1" wp14:anchorId="034FC1AF" wp14:editId="25C61AC3">
                <wp:simplePos x="0" y="0"/>
                <wp:positionH relativeFrom="column">
                  <wp:posOffset>-109220</wp:posOffset>
                </wp:positionH>
                <wp:positionV relativeFrom="paragraph">
                  <wp:posOffset>2519045</wp:posOffset>
                </wp:positionV>
                <wp:extent cx="5941060" cy="1343025"/>
                <wp:effectExtent l="0" t="0" r="0" b="9525"/>
                <wp:wrapTopAndBottom distT="0" distB="0"/>
                <wp:docPr id="535962140" name="Rectangle 535962140"/>
                <wp:cNvGraphicFramePr/>
                <a:graphic xmlns:a="http://schemas.openxmlformats.org/drawingml/2006/main">
                  <a:graphicData uri="http://schemas.microsoft.com/office/word/2010/wordprocessingShape">
                    <wps:wsp>
                      <wps:cNvSpPr/>
                      <wps:spPr>
                        <a:xfrm>
                          <a:off x="0" y="0"/>
                          <a:ext cx="5941060" cy="1343025"/>
                        </a:xfrm>
                        <a:prstGeom prst="rect">
                          <a:avLst/>
                        </a:prstGeom>
                        <a:noFill/>
                        <a:ln>
                          <a:noFill/>
                        </a:ln>
                      </wps:spPr>
                      <wps:txbx>
                        <w:txbxContent>
                          <w:p w14:paraId="429D9A2B" w14:textId="77777777" w:rsidR="0037138B" w:rsidRPr="00C03EFA" w:rsidRDefault="0037138B" w:rsidP="0037138B">
                            <w:pPr>
                              <w:spacing w:before="150" w:line="216" w:lineRule="auto"/>
                              <w:jc w:val="both"/>
                              <w:rPr>
                                <w:rFonts w:ascii="Times New Roman" w:eastAsia="Times New Roman" w:hAnsi="Times New Roman" w:cs="Times New Roman"/>
                                <w:sz w:val="24"/>
                                <w:szCs w:val="24"/>
                                <w:lang w:val="en-AU"/>
                              </w:rPr>
                            </w:pPr>
                            <w:r w:rsidRPr="00C03EFA">
                              <w:rPr>
                                <w:rFonts w:ascii="Aptos Narrow" w:eastAsia="+mn-ea" w:hAnsi="Aptos Narrow" w:cs="Arial"/>
                                <w:b/>
                                <w:bCs/>
                                <w:color w:val="000000"/>
                                <w:kern w:val="24"/>
                                <w:sz w:val="18"/>
                                <w:szCs w:val="18"/>
                                <w:lang w:val="en-US"/>
                              </w:rPr>
                              <w:t xml:space="preserve">Supplementary figure </w:t>
                            </w:r>
                            <w:r>
                              <w:rPr>
                                <w:rFonts w:ascii="Aptos Narrow" w:eastAsia="+mn-ea" w:hAnsi="Aptos Narrow" w:cs="Arial"/>
                                <w:b/>
                                <w:bCs/>
                                <w:color w:val="000000"/>
                                <w:kern w:val="24"/>
                                <w:sz w:val="18"/>
                                <w:szCs w:val="18"/>
                                <w:lang w:val="en-US"/>
                              </w:rPr>
                              <w:t>5</w:t>
                            </w:r>
                            <w:r w:rsidRPr="00C03EFA">
                              <w:rPr>
                                <w:rFonts w:ascii="Aptos Narrow" w:eastAsia="+mn-ea" w:hAnsi="Aptos Narrow" w:cs="Arial"/>
                                <w:b/>
                                <w:bCs/>
                                <w:color w:val="000000"/>
                                <w:kern w:val="24"/>
                                <w:sz w:val="18"/>
                                <w:szCs w:val="18"/>
                                <w:lang w:val="en-US"/>
                              </w:rPr>
                              <w:t xml:space="preserve"> | The production of reactive oxygen species by neutrophils after 6 hours of myelin uptake. </w:t>
                            </w:r>
                            <w:r w:rsidRPr="00C03EFA">
                              <w:rPr>
                                <w:rFonts w:ascii="Aptos Narrow" w:eastAsia="+mn-ea" w:hAnsi="Aptos Narrow" w:cs="Arial"/>
                                <w:color w:val="000000"/>
                                <w:kern w:val="24"/>
                                <w:sz w:val="18"/>
                                <w:szCs w:val="18"/>
                                <w:lang w:val="en-US"/>
                              </w:rPr>
                              <w:t>Purified neutrophils from healthy donors (n=7) were cultured with or without serum-opsonized myelin debris at different concentrations (1, 10 or 100 µg/mL) for 6 hours. Afterwards, cells were harvested, counted and a chemiluminescence-based ROS assay was performed. Therefore, 0.1 x 10</w:t>
                            </w:r>
                            <w:r w:rsidRPr="00C03EFA">
                              <w:rPr>
                                <w:rFonts w:ascii="Aptos Narrow" w:eastAsia="+mn-ea" w:hAnsi="Aptos Narrow" w:cs="Arial"/>
                                <w:color w:val="000000"/>
                                <w:kern w:val="24"/>
                                <w:position w:val="5"/>
                                <w:sz w:val="18"/>
                                <w:szCs w:val="18"/>
                                <w:vertAlign w:val="superscript"/>
                                <w:lang w:val="en-US"/>
                              </w:rPr>
                              <w:t xml:space="preserve">6 </w:t>
                            </w:r>
                            <w:r w:rsidRPr="00C03EFA">
                              <w:rPr>
                                <w:rFonts w:ascii="Aptos Narrow" w:eastAsia="+mn-ea" w:hAnsi="Aptos Narrow" w:cs="Arial"/>
                                <w:color w:val="000000"/>
                                <w:kern w:val="24"/>
                                <w:sz w:val="18"/>
                                <w:szCs w:val="18"/>
                                <w:lang w:val="en-US"/>
                              </w:rPr>
                              <w:t>cells were added to each well, and stimulated with RPMI buffer, PMA (150 ng/mL) or a combination of cytokines (priming for 10 min with 10 ng/mL TNF-</w:t>
                            </w:r>
                            <w:r w:rsidRPr="00C03EFA">
                              <w:rPr>
                                <w:rFonts w:ascii="Aptos Narrow" w:eastAsia="+mn-ea" w:hAnsi="Aptos Narrow" w:cs="Arial"/>
                                <w:color w:val="000000"/>
                                <w:kern w:val="24"/>
                                <w:sz w:val="18"/>
                                <w:szCs w:val="18"/>
                                <w:lang w:val="el-GR"/>
                              </w:rPr>
                              <w:t>α</w:t>
                            </w:r>
                            <w:r w:rsidRPr="00AB7DF1">
                              <w:rPr>
                                <w:rFonts w:ascii="Aptos Narrow" w:eastAsia="+mn-ea" w:hAnsi="Aptos Narrow" w:cs="Arial"/>
                                <w:color w:val="000000"/>
                                <w:kern w:val="24"/>
                                <w:sz w:val="18"/>
                                <w:szCs w:val="18"/>
                                <w:lang w:val="en-US"/>
                              </w:rPr>
                              <w:t xml:space="preserve"> and subsequent stimulation with 10 ng/mL IL-1</w:t>
                            </w:r>
                            <w:r w:rsidRPr="00C03EFA">
                              <w:rPr>
                                <w:rFonts w:ascii="Aptos Narrow" w:eastAsia="+mn-ea" w:hAnsi="Aptos Narrow" w:cs="Arial"/>
                                <w:color w:val="000000"/>
                                <w:kern w:val="24"/>
                                <w:sz w:val="18"/>
                                <w:szCs w:val="18"/>
                                <w:lang w:val="el-GR"/>
                              </w:rPr>
                              <w:t>β</w:t>
                            </w:r>
                            <w:r w:rsidRPr="00AB7DF1">
                              <w:rPr>
                                <w:rFonts w:ascii="Aptos Narrow" w:eastAsia="+mn-ea" w:hAnsi="Aptos Narrow" w:cs="Arial"/>
                                <w:color w:val="000000"/>
                                <w:kern w:val="24"/>
                                <w:sz w:val="18"/>
                                <w:szCs w:val="18"/>
                                <w:lang w:val="en-US"/>
                              </w:rPr>
                              <w:t xml:space="preserve">). Afterwards, luminol (2 mM) was added to the cells, and luminescence was measured for 3 hours at 37°C in a CLARIOstar microplate reader. Maximal luminescence values over time are shown. </w:t>
                            </w:r>
                            <w:r w:rsidRPr="00C03EFA">
                              <w:rPr>
                                <w:rFonts w:ascii="Aptos Narrow" w:eastAsia="+mn-ea" w:hAnsi="Aptos Narrow" w:cs="Arial"/>
                                <w:color w:val="000000"/>
                                <w:kern w:val="24"/>
                                <w:sz w:val="18"/>
                                <w:szCs w:val="18"/>
                                <w:lang w:val="en-US"/>
                              </w:rPr>
                              <w:t xml:space="preserve">Normally distributed data are represented as the mean ± SEM. Data were analyzed using a one-way ANOVA. </w:t>
                            </w:r>
                          </w:p>
                          <w:p w14:paraId="33304089" w14:textId="77777777" w:rsidR="0037138B" w:rsidRDefault="0037138B" w:rsidP="0037138B">
                            <w:pPr>
                              <w:spacing w:before="150" w:line="215" w:lineRule="auto"/>
                              <w:jc w:val="both"/>
                              <w:textDirection w:val="btL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034FC1AF" id="Rectangle 535962140" o:spid="_x0000_s1030" style="position:absolute;margin-left:-8.6pt;margin-top:198.35pt;width:467.8pt;height:105.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" filled="f" stroked="f">
                <v:textbox inset="2.53958mm,1.2694mm,2.53958mm,1.2694mm">
                  <w:txbxContent>
                    <w:p w14:paraId="429D9A2B" w14:textId="77777777" w:rsidR="0037138B" w:rsidRPr="00C03EFA" w:rsidRDefault="0037138B" w:rsidP="0037138B">
                      <w:pPr>
                        <w:spacing w:before="150" w:line="216" w:lineRule="auto"/>
                        <w:jc w:val="both"/>
                        <w:rPr>
                          <w:rFonts w:ascii="Times New Roman" w:eastAsia="Times New Roman" w:hAnsi="Times New Roman" w:cs="Times New Roman"/>
                          <w:sz w:val="24"/>
                          <w:szCs w:val="24"/>
                          <w:lang w:val="en-AU"/>
                        </w:rPr>
                      </w:pPr>
                      <w:r w:rsidRPr="00C03EFA">
                        <w:rPr>
                          <w:rFonts w:ascii="Aptos Narrow" w:eastAsia="+mn-ea" w:hAnsi="Aptos Narrow" w:cs="Arial"/>
                          <w:b/>
                          <w:bCs/>
                          <w:color w:val="000000"/>
                          <w:kern w:val="24"/>
                          <w:sz w:val="18"/>
                          <w:szCs w:val="18"/>
                          <w:lang w:val="en-US"/>
                        </w:rPr>
                        <w:t xml:space="preserve">Supplementary figure </w:t>
                      </w:r>
                      <w:r>
                        <w:rPr>
                          <w:rFonts w:ascii="Aptos Narrow" w:eastAsia="+mn-ea" w:hAnsi="Aptos Narrow" w:cs="Arial"/>
                          <w:b/>
                          <w:bCs/>
                          <w:color w:val="000000"/>
                          <w:kern w:val="24"/>
                          <w:sz w:val="18"/>
                          <w:szCs w:val="18"/>
                          <w:lang w:val="en-US"/>
                        </w:rPr>
                        <w:t>5</w:t>
                      </w:r>
                      <w:r w:rsidRPr="00C03EFA">
                        <w:rPr>
                          <w:rFonts w:ascii="Aptos Narrow" w:eastAsia="+mn-ea" w:hAnsi="Aptos Narrow" w:cs="Arial"/>
                          <w:b/>
                          <w:bCs/>
                          <w:color w:val="000000"/>
                          <w:kern w:val="24"/>
                          <w:sz w:val="18"/>
                          <w:szCs w:val="18"/>
                          <w:lang w:val="en-US"/>
                        </w:rPr>
                        <w:t xml:space="preserve"> | The production of reactive oxygen species by neutrophils after 6 hours of myelin uptake. </w:t>
                      </w:r>
                      <w:r w:rsidRPr="00C03EFA">
                        <w:rPr>
                          <w:rFonts w:ascii="Aptos Narrow" w:eastAsia="+mn-ea" w:hAnsi="Aptos Narrow" w:cs="Arial"/>
                          <w:color w:val="000000"/>
                          <w:kern w:val="24"/>
                          <w:sz w:val="18"/>
                          <w:szCs w:val="18"/>
                          <w:lang w:val="en-US"/>
                        </w:rPr>
                        <w:t>Purified neutrophils from healthy donors (n=7) were cultured with or without serum-opsonized myelin debris at different concentrations (1, 10 or 100 µg/mL) for 6 hours. Afterwards, cells were harvested, counted and a chemiluminescence-based ROS assay was performed. Therefore, 0.1 x 10</w:t>
                      </w:r>
                      <w:r w:rsidRPr="00C03EFA">
                        <w:rPr>
                          <w:rFonts w:ascii="Aptos Narrow" w:eastAsia="+mn-ea" w:hAnsi="Aptos Narrow" w:cs="Arial"/>
                          <w:color w:val="000000"/>
                          <w:kern w:val="24"/>
                          <w:position w:val="5"/>
                          <w:sz w:val="18"/>
                          <w:szCs w:val="18"/>
                          <w:vertAlign w:val="superscript"/>
                          <w:lang w:val="en-US"/>
                        </w:rPr>
                        <w:t xml:space="preserve">6 </w:t>
                      </w:r>
                      <w:r w:rsidRPr="00C03EFA">
                        <w:rPr>
                          <w:rFonts w:ascii="Aptos Narrow" w:eastAsia="+mn-ea" w:hAnsi="Aptos Narrow" w:cs="Arial"/>
                          <w:color w:val="000000"/>
                          <w:kern w:val="24"/>
                          <w:sz w:val="18"/>
                          <w:szCs w:val="18"/>
                          <w:lang w:val="en-US"/>
                        </w:rPr>
                        <w:t>cells were added to each well, and stimulated with RPMI buffer, PMA (150 ng/mL) or a combination of cytokines (priming for 10 min with 10 ng/mL TNF-</w:t>
                      </w:r>
                      <w:r w:rsidRPr="00C03EFA">
                        <w:rPr>
                          <w:rFonts w:ascii="Aptos Narrow" w:eastAsia="+mn-ea" w:hAnsi="Aptos Narrow" w:cs="Arial"/>
                          <w:color w:val="000000"/>
                          <w:kern w:val="24"/>
                          <w:sz w:val="18"/>
                          <w:szCs w:val="18"/>
                          <w:lang w:val="el-GR"/>
                        </w:rPr>
                        <w:t>α</w:t>
                      </w:r>
                      <w:r w:rsidRPr="00AB7DF1">
                        <w:rPr>
                          <w:rFonts w:ascii="Aptos Narrow" w:eastAsia="+mn-ea" w:hAnsi="Aptos Narrow" w:cs="Arial"/>
                          <w:color w:val="000000"/>
                          <w:kern w:val="24"/>
                          <w:sz w:val="18"/>
                          <w:szCs w:val="18"/>
                          <w:lang w:val="en-US"/>
                        </w:rPr>
                        <w:t xml:space="preserve"> and subsequent stimulation with 10 ng/mL IL-1</w:t>
                      </w:r>
                      <w:r w:rsidRPr="00C03EFA">
                        <w:rPr>
                          <w:rFonts w:ascii="Aptos Narrow" w:eastAsia="+mn-ea" w:hAnsi="Aptos Narrow" w:cs="Arial"/>
                          <w:color w:val="000000"/>
                          <w:kern w:val="24"/>
                          <w:sz w:val="18"/>
                          <w:szCs w:val="18"/>
                          <w:lang w:val="el-GR"/>
                        </w:rPr>
                        <w:t>β</w:t>
                      </w:r>
                      <w:r w:rsidRPr="00AB7DF1">
                        <w:rPr>
                          <w:rFonts w:ascii="Aptos Narrow" w:eastAsia="+mn-ea" w:hAnsi="Aptos Narrow" w:cs="Arial"/>
                          <w:color w:val="000000"/>
                          <w:kern w:val="24"/>
                          <w:sz w:val="18"/>
                          <w:szCs w:val="18"/>
                          <w:lang w:val="en-US"/>
                        </w:rPr>
                        <w:t xml:space="preserve">). Afterwards, luminol (2 mM) was added to the cells, and luminescence was measured for 3 hours at 37°C in a CLARIOstar microplate reader. Maximal luminescence values over time are shown. </w:t>
                      </w:r>
                      <w:r w:rsidRPr="00C03EFA">
                        <w:rPr>
                          <w:rFonts w:ascii="Aptos Narrow" w:eastAsia="+mn-ea" w:hAnsi="Aptos Narrow" w:cs="Arial"/>
                          <w:color w:val="000000"/>
                          <w:kern w:val="24"/>
                          <w:sz w:val="18"/>
                          <w:szCs w:val="18"/>
                          <w:lang w:val="en-US"/>
                        </w:rPr>
                        <w:t xml:space="preserve">Normally distributed data are represented as the mean ± SEM. Data were analyzed using a one-way ANOVA. </w:t>
                      </w:r>
                    </w:p>
                    <w:p w14:paraId="33304089" w14:textId="77777777" w:rsidR="0037138B" w:rsidRDefault="0037138B" w:rsidP="0037138B">
                      <w:pPr>
                        <w:spacing w:before="150" w:line="215" w:lineRule="auto"/>
                        <w:jc w:val="both"/>
                        <w:textDirection w:val="btLr"/>
                      </w:pPr>
                    </w:p>
                  </w:txbxContent>
                </v:textbox>
                <w10:wrap type="topAndBottom"/>
              </v:rect>
            </w:pict>
          </mc:Fallback>
        </mc:AlternateContent>
      </w:r>
      <w:r w:rsidRPr="00C03EFA">
        <w:rPr>
          <w:rFonts w:ascii="Aptos Narrow" w:eastAsia="Aptos Narrow" w:hAnsi="Aptos Narrow" w:cs="Aptos Narrow"/>
          <w:noProof/>
          <w:color w:val="000000"/>
          <w:lang w:val="en-AU"/>
        </w:rPr>
        <w:drawing>
          <wp:inline distT="0" distB="0" distL="0" distR="0" wp14:anchorId="3BFD698F" wp14:editId="03C75EB5">
            <wp:extent cx="5760720" cy="2445489"/>
            <wp:effectExtent l="0" t="0" r="0" b="0"/>
            <wp:docPr id="1839454360" name="Picture 15" descr="A screenshot of a computer screen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454360" name="Picture 15" descr="A screenshot of a computer screen  AI-generated content may be incorrect."/>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6954"/>
                    <a:stretch>
                      <a:fillRect/>
                    </a:stretch>
                  </pic:blipFill>
                  <pic:spPr bwMode="auto">
                    <a:xfrm>
                      <a:off x="0" y="0"/>
                      <a:ext cx="5760720" cy="2445489"/>
                    </a:xfrm>
                    <a:prstGeom prst="rect">
                      <a:avLst/>
                    </a:prstGeom>
                    <a:noFill/>
                    <a:ln>
                      <a:noFill/>
                    </a:ln>
                    <a:extLst>
                      <a:ext uri="{53640926-AAD7-44D8-BBD7-CCE9431645EC}">
                        <a14:shadowObscured xmlns:a14="http://schemas.microsoft.com/office/drawing/2010/main"/>
                      </a:ext>
                    </a:extLst>
                  </pic:spPr>
                </pic:pic>
              </a:graphicData>
            </a:graphic>
          </wp:inline>
        </w:drawing>
      </w:r>
    </w:p>
    <w:p w14:paraId="75B4DE3E" w14:textId="77777777" w:rsidR="0037138B" w:rsidRPr="00E3284A" w:rsidRDefault="0037138B" w:rsidP="0037138B">
      <w:pPr>
        <w:suppressLineNumbers/>
        <w:spacing w:line="480" w:lineRule="auto"/>
        <w:rPr>
          <w:rFonts w:ascii="Aptos Narrow" w:eastAsia="Aptos Narrow" w:hAnsi="Aptos Narrow" w:cs="Aptos Narrow"/>
          <w:color w:val="000000"/>
        </w:rPr>
      </w:pPr>
      <w:r w:rsidRPr="00E3284A">
        <w:rPr>
          <w:rFonts w:ascii="Aptos Narrow" w:eastAsia="Aptos Narrow" w:hAnsi="Aptos Narrow" w:cs="Aptos Narrow"/>
          <w:color w:val="000000"/>
        </w:rPr>
        <w:br w:type="page"/>
      </w:r>
    </w:p>
    <w:p w14:paraId="7E8B8221" w14:textId="77777777" w:rsidR="00F553FF" w:rsidRDefault="00F553FF"/>
    <w:sectPr w:rsidR="00F553F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mn-e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138B"/>
    <w:rsid w:val="0037138B"/>
    <w:rsid w:val="003C2EF4"/>
    <w:rsid w:val="00446799"/>
    <w:rsid w:val="006A7E07"/>
    <w:rsid w:val="00701021"/>
    <w:rsid w:val="00B74216"/>
    <w:rsid w:val="00D62F8C"/>
    <w:rsid w:val="00E97CD6"/>
    <w:rsid w:val="00EE3757"/>
    <w:rsid w:val="00F553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FBB722"/>
  <w15:chartTrackingRefBased/>
  <w15:docId w15:val="{8B261691-5B08-4854-8965-0D17F0B7E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138B"/>
    <w:pPr>
      <w:spacing w:line="259" w:lineRule="auto"/>
    </w:pPr>
    <w:rPr>
      <w:rFonts w:ascii="Calibri" w:eastAsia="Calibri" w:hAnsi="Calibri" w:cs="Calibri"/>
      <w:kern w:val="0"/>
      <w:sz w:val="22"/>
      <w:szCs w:val="22"/>
      <w:lang w:val="en" w:eastAsia="en-AU"/>
      <w14:ligatures w14:val="none"/>
    </w:rPr>
  </w:style>
  <w:style w:type="paragraph" w:styleId="Heading1">
    <w:name w:val="heading 1"/>
    <w:basedOn w:val="Normal"/>
    <w:next w:val="Normal"/>
    <w:link w:val="Heading1Char"/>
    <w:uiPriority w:val="9"/>
    <w:qFormat/>
    <w:rsid w:val="0037138B"/>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n-US" w:eastAsia="en-US"/>
      <w14:ligatures w14:val="standardContextual"/>
    </w:rPr>
  </w:style>
  <w:style w:type="paragraph" w:styleId="Heading2">
    <w:name w:val="heading 2"/>
    <w:basedOn w:val="Normal"/>
    <w:next w:val="Normal"/>
    <w:link w:val="Heading2Char"/>
    <w:uiPriority w:val="9"/>
    <w:semiHidden/>
    <w:unhideWhenUsed/>
    <w:qFormat/>
    <w:rsid w:val="0037138B"/>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n-US" w:eastAsia="en-US"/>
      <w14:ligatures w14:val="standardContextual"/>
    </w:rPr>
  </w:style>
  <w:style w:type="paragraph" w:styleId="Heading3">
    <w:name w:val="heading 3"/>
    <w:basedOn w:val="Normal"/>
    <w:next w:val="Normal"/>
    <w:link w:val="Heading3Char"/>
    <w:uiPriority w:val="9"/>
    <w:semiHidden/>
    <w:unhideWhenUsed/>
    <w:qFormat/>
    <w:rsid w:val="0037138B"/>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val="en-US" w:eastAsia="en-US"/>
      <w14:ligatures w14:val="standardContextual"/>
    </w:rPr>
  </w:style>
  <w:style w:type="paragraph" w:styleId="Heading4">
    <w:name w:val="heading 4"/>
    <w:basedOn w:val="Normal"/>
    <w:next w:val="Normal"/>
    <w:link w:val="Heading4Char"/>
    <w:uiPriority w:val="9"/>
    <w:semiHidden/>
    <w:unhideWhenUsed/>
    <w:qFormat/>
    <w:rsid w:val="0037138B"/>
    <w:pPr>
      <w:keepNext/>
      <w:keepLines/>
      <w:spacing w:before="80" w:after="40" w:line="278" w:lineRule="auto"/>
      <w:outlineLvl w:val="3"/>
    </w:pPr>
    <w:rPr>
      <w:rFonts w:asciiTheme="minorHAnsi" w:eastAsiaTheme="majorEastAsia" w:hAnsiTheme="minorHAnsi" w:cstheme="majorBidi"/>
      <w:i/>
      <w:iCs/>
      <w:color w:val="0F4761" w:themeColor="accent1" w:themeShade="BF"/>
      <w:kern w:val="2"/>
      <w:sz w:val="24"/>
      <w:szCs w:val="24"/>
      <w:lang w:val="en-US" w:eastAsia="en-US"/>
      <w14:ligatures w14:val="standardContextual"/>
    </w:rPr>
  </w:style>
  <w:style w:type="paragraph" w:styleId="Heading5">
    <w:name w:val="heading 5"/>
    <w:basedOn w:val="Normal"/>
    <w:next w:val="Normal"/>
    <w:link w:val="Heading5Char"/>
    <w:uiPriority w:val="9"/>
    <w:semiHidden/>
    <w:unhideWhenUsed/>
    <w:qFormat/>
    <w:rsid w:val="0037138B"/>
    <w:pPr>
      <w:keepNext/>
      <w:keepLines/>
      <w:spacing w:before="80" w:after="40" w:line="278" w:lineRule="auto"/>
      <w:outlineLvl w:val="4"/>
    </w:pPr>
    <w:rPr>
      <w:rFonts w:asciiTheme="minorHAnsi" w:eastAsiaTheme="majorEastAsia" w:hAnsiTheme="minorHAnsi" w:cstheme="majorBidi"/>
      <w:color w:val="0F4761" w:themeColor="accent1" w:themeShade="BF"/>
      <w:kern w:val="2"/>
      <w:sz w:val="24"/>
      <w:szCs w:val="24"/>
      <w:lang w:val="en-US" w:eastAsia="en-US"/>
      <w14:ligatures w14:val="standardContextual"/>
    </w:rPr>
  </w:style>
  <w:style w:type="paragraph" w:styleId="Heading6">
    <w:name w:val="heading 6"/>
    <w:basedOn w:val="Normal"/>
    <w:next w:val="Normal"/>
    <w:link w:val="Heading6Char"/>
    <w:uiPriority w:val="9"/>
    <w:semiHidden/>
    <w:unhideWhenUsed/>
    <w:qFormat/>
    <w:rsid w:val="0037138B"/>
    <w:pPr>
      <w:keepNext/>
      <w:keepLines/>
      <w:spacing w:before="40" w:after="0" w:line="278" w:lineRule="auto"/>
      <w:outlineLvl w:val="5"/>
    </w:pPr>
    <w:rPr>
      <w:rFonts w:asciiTheme="minorHAnsi" w:eastAsiaTheme="majorEastAsia" w:hAnsiTheme="minorHAnsi" w:cstheme="majorBidi"/>
      <w:i/>
      <w:iCs/>
      <w:color w:val="595959" w:themeColor="text1" w:themeTint="A6"/>
      <w:kern w:val="2"/>
      <w:sz w:val="24"/>
      <w:szCs w:val="24"/>
      <w:lang w:val="en-US" w:eastAsia="en-US"/>
      <w14:ligatures w14:val="standardContextual"/>
    </w:rPr>
  </w:style>
  <w:style w:type="paragraph" w:styleId="Heading7">
    <w:name w:val="heading 7"/>
    <w:basedOn w:val="Normal"/>
    <w:next w:val="Normal"/>
    <w:link w:val="Heading7Char"/>
    <w:uiPriority w:val="9"/>
    <w:semiHidden/>
    <w:unhideWhenUsed/>
    <w:qFormat/>
    <w:rsid w:val="0037138B"/>
    <w:pPr>
      <w:keepNext/>
      <w:keepLines/>
      <w:spacing w:before="40" w:after="0" w:line="278" w:lineRule="auto"/>
      <w:outlineLvl w:val="6"/>
    </w:pPr>
    <w:rPr>
      <w:rFonts w:asciiTheme="minorHAnsi" w:eastAsiaTheme="majorEastAsia" w:hAnsiTheme="minorHAnsi" w:cstheme="majorBidi"/>
      <w:color w:val="595959" w:themeColor="text1" w:themeTint="A6"/>
      <w:kern w:val="2"/>
      <w:sz w:val="24"/>
      <w:szCs w:val="24"/>
      <w:lang w:val="en-US" w:eastAsia="en-US"/>
      <w14:ligatures w14:val="standardContextual"/>
    </w:rPr>
  </w:style>
  <w:style w:type="paragraph" w:styleId="Heading8">
    <w:name w:val="heading 8"/>
    <w:basedOn w:val="Normal"/>
    <w:next w:val="Normal"/>
    <w:link w:val="Heading8Char"/>
    <w:uiPriority w:val="9"/>
    <w:semiHidden/>
    <w:unhideWhenUsed/>
    <w:qFormat/>
    <w:rsid w:val="0037138B"/>
    <w:pPr>
      <w:keepNext/>
      <w:keepLines/>
      <w:spacing w:after="0" w:line="278" w:lineRule="auto"/>
      <w:outlineLvl w:val="7"/>
    </w:pPr>
    <w:rPr>
      <w:rFonts w:asciiTheme="minorHAnsi" w:eastAsiaTheme="majorEastAsia" w:hAnsiTheme="minorHAnsi" w:cstheme="majorBidi"/>
      <w:i/>
      <w:iCs/>
      <w:color w:val="272727" w:themeColor="text1" w:themeTint="D8"/>
      <w:kern w:val="2"/>
      <w:sz w:val="24"/>
      <w:szCs w:val="24"/>
      <w:lang w:val="en-US" w:eastAsia="en-US"/>
      <w14:ligatures w14:val="standardContextual"/>
    </w:rPr>
  </w:style>
  <w:style w:type="paragraph" w:styleId="Heading9">
    <w:name w:val="heading 9"/>
    <w:basedOn w:val="Normal"/>
    <w:next w:val="Normal"/>
    <w:link w:val="Heading9Char"/>
    <w:uiPriority w:val="9"/>
    <w:semiHidden/>
    <w:unhideWhenUsed/>
    <w:qFormat/>
    <w:rsid w:val="0037138B"/>
    <w:pPr>
      <w:keepNext/>
      <w:keepLines/>
      <w:spacing w:after="0" w:line="278" w:lineRule="auto"/>
      <w:outlineLvl w:val="8"/>
    </w:pPr>
    <w:rPr>
      <w:rFonts w:asciiTheme="minorHAnsi" w:eastAsiaTheme="majorEastAsia" w:hAnsiTheme="minorHAnsi" w:cstheme="majorBidi"/>
      <w:color w:val="272727" w:themeColor="text1" w:themeTint="D8"/>
      <w:kern w:val="2"/>
      <w:sz w:val="24"/>
      <w:szCs w:val="24"/>
      <w:lang w:val="en-US"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138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7138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7138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7138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7138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7138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7138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7138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7138B"/>
    <w:rPr>
      <w:rFonts w:eastAsiaTheme="majorEastAsia" w:cstheme="majorBidi"/>
      <w:color w:val="272727" w:themeColor="text1" w:themeTint="D8"/>
    </w:rPr>
  </w:style>
  <w:style w:type="paragraph" w:styleId="Title">
    <w:name w:val="Title"/>
    <w:basedOn w:val="Normal"/>
    <w:next w:val="Normal"/>
    <w:link w:val="TitleChar"/>
    <w:uiPriority w:val="10"/>
    <w:qFormat/>
    <w:rsid w:val="0037138B"/>
    <w:pPr>
      <w:spacing w:after="80" w:line="240" w:lineRule="auto"/>
      <w:contextualSpacing/>
    </w:pPr>
    <w:rPr>
      <w:rFonts w:asciiTheme="majorHAnsi" w:eastAsiaTheme="majorEastAsia" w:hAnsiTheme="majorHAnsi" w:cstheme="majorBidi"/>
      <w:spacing w:val="-10"/>
      <w:kern w:val="28"/>
      <w:sz w:val="56"/>
      <w:szCs w:val="56"/>
      <w:lang w:val="en-US" w:eastAsia="en-US"/>
      <w14:ligatures w14:val="standardContextual"/>
    </w:rPr>
  </w:style>
  <w:style w:type="character" w:customStyle="1" w:styleId="TitleChar">
    <w:name w:val="Title Char"/>
    <w:basedOn w:val="DefaultParagraphFont"/>
    <w:link w:val="Title"/>
    <w:uiPriority w:val="10"/>
    <w:rsid w:val="0037138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7138B"/>
    <w:pPr>
      <w:numPr>
        <w:ilvl w:val="1"/>
      </w:numPr>
      <w:spacing w:line="278" w:lineRule="auto"/>
    </w:pPr>
    <w:rPr>
      <w:rFonts w:asciiTheme="minorHAnsi" w:eastAsiaTheme="majorEastAsia" w:hAnsiTheme="minorHAnsi" w:cstheme="majorBidi"/>
      <w:color w:val="595959" w:themeColor="text1" w:themeTint="A6"/>
      <w:spacing w:val="15"/>
      <w:kern w:val="2"/>
      <w:sz w:val="28"/>
      <w:szCs w:val="28"/>
      <w:lang w:val="en-US" w:eastAsia="en-US"/>
      <w14:ligatures w14:val="standardContextual"/>
    </w:rPr>
  </w:style>
  <w:style w:type="character" w:customStyle="1" w:styleId="SubtitleChar">
    <w:name w:val="Subtitle Char"/>
    <w:basedOn w:val="DefaultParagraphFont"/>
    <w:link w:val="Subtitle"/>
    <w:uiPriority w:val="11"/>
    <w:rsid w:val="0037138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7138B"/>
    <w:pPr>
      <w:spacing w:before="160" w:line="278" w:lineRule="auto"/>
      <w:jc w:val="center"/>
    </w:pPr>
    <w:rPr>
      <w:rFonts w:asciiTheme="minorHAnsi" w:eastAsiaTheme="minorHAnsi" w:hAnsiTheme="minorHAnsi" w:cstheme="minorBidi"/>
      <w:i/>
      <w:iCs/>
      <w:color w:val="404040" w:themeColor="text1" w:themeTint="BF"/>
      <w:kern w:val="2"/>
      <w:sz w:val="24"/>
      <w:szCs w:val="24"/>
      <w:lang w:val="en-US" w:eastAsia="en-US"/>
      <w14:ligatures w14:val="standardContextual"/>
    </w:rPr>
  </w:style>
  <w:style w:type="character" w:customStyle="1" w:styleId="QuoteChar">
    <w:name w:val="Quote Char"/>
    <w:basedOn w:val="DefaultParagraphFont"/>
    <w:link w:val="Quote"/>
    <w:uiPriority w:val="29"/>
    <w:rsid w:val="0037138B"/>
    <w:rPr>
      <w:i/>
      <w:iCs/>
      <w:color w:val="404040" w:themeColor="text1" w:themeTint="BF"/>
    </w:rPr>
  </w:style>
  <w:style w:type="paragraph" w:styleId="ListParagraph">
    <w:name w:val="List Paragraph"/>
    <w:basedOn w:val="Normal"/>
    <w:uiPriority w:val="34"/>
    <w:qFormat/>
    <w:rsid w:val="0037138B"/>
    <w:pPr>
      <w:spacing w:line="278" w:lineRule="auto"/>
      <w:ind w:left="720"/>
      <w:contextualSpacing/>
    </w:pPr>
    <w:rPr>
      <w:rFonts w:asciiTheme="minorHAnsi" w:eastAsiaTheme="minorHAnsi" w:hAnsiTheme="minorHAnsi" w:cstheme="minorBidi"/>
      <w:kern w:val="2"/>
      <w:sz w:val="24"/>
      <w:szCs w:val="24"/>
      <w:lang w:val="en-US" w:eastAsia="en-US"/>
      <w14:ligatures w14:val="standardContextual"/>
    </w:rPr>
  </w:style>
  <w:style w:type="character" w:styleId="IntenseEmphasis">
    <w:name w:val="Intense Emphasis"/>
    <w:basedOn w:val="DefaultParagraphFont"/>
    <w:uiPriority w:val="21"/>
    <w:qFormat/>
    <w:rsid w:val="0037138B"/>
    <w:rPr>
      <w:i/>
      <w:iCs/>
      <w:color w:val="0F4761" w:themeColor="accent1" w:themeShade="BF"/>
    </w:rPr>
  </w:style>
  <w:style w:type="paragraph" w:styleId="IntenseQuote">
    <w:name w:val="Intense Quote"/>
    <w:basedOn w:val="Normal"/>
    <w:next w:val="Normal"/>
    <w:link w:val="IntenseQuoteChar"/>
    <w:uiPriority w:val="30"/>
    <w:qFormat/>
    <w:rsid w:val="0037138B"/>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sz w:val="24"/>
      <w:szCs w:val="24"/>
      <w:lang w:val="en-US" w:eastAsia="en-US"/>
      <w14:ligatures w14:val="standardContextual"/>
    </w:rPr>
  </w:style>
  <w:style w:type="character" w:customStyle="1" w:styleId="IntenseQuoteChar">
    <w:name w:val="Intense Quote Char"/>
    <w:basedOn w:val="DefaultParagraphFont"/>
    <w:link w:val="IntenseQuote"/>
    <w:uiPriority w:val="30"/>
    <w:rsid w:val="0037138B"/>
    <w:rPr>
      <w:i/>
      <w:iCs/>
      <w:color w:val="0F4761" w:themeColor="accent1" w:themeShade="BF"/>
    </w:rPr>
  </w:style>
  <w:style w:type="character" w:styleId="IntenseReference">
    <w:name w:val="Intense Reference"/>
    <w:basedOn w:val="DefaultParagraphFont"/>
    <w:uiPriority w:val="32"/>
    <w:qFormat/>
    <w:rsid w:val="0037138B"/>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200</Words>
  <Characters>1143</Characters>
  <Application>Microsoft Office Word</Application>
  <DocSecurity>0</DocSecurity>
  <Lines>9</Lines>
  <Paragraphs>2</Paragraphs>
  <ScaleCrop>false</ScaleCrop>
  <Company>Springer Nature</Company>
  <LinksUpToDate>false</LinksUpToDate>
  <CharactersWithSpaces>1341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Rizwan Khan</dc:creator>
  <cp:keywords/>
  <dc:description/>
  <cp:lastModifiedBy>Rizwan Khan</cp:lastModifiedBy>
  <cp:revision>1</cp:revision>
  <dcterms:created xsi:type="dcterms:W3CDTF">2026-06-03T09:36:00Z</dcterms:created>
  <dcterms:modified xsi:type="dcterms:W3CDTF">2026-06-03T09:37:00Z</dcterms:modified>
</cp:coreProperties>
</file>