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w:tbl>
      <w:tblPr>
        <w:tblStyle w:val="TableGrid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gridSpan w:val="5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</w:tcPr>
          <w:p>
            <w:pPr>
              <w:spacing w:after="0"/>
            </w:pPr>
            <w:r>
              <w:t xml:space="preserve">Supplementary Table S1. Model-selection comparison for the primary DMFT outcome (n = 225). NB is presented as the primary specification on grounds of interpretability of the dispersion parameter and the absence of a clearly motivated structural-zero process. Supplementary Table S2 reports the substantive stability of site, age and tobacco effects across NB, ZINB and hurdle specifications.</w:t>
            </w:r>
          </w:p>
        </w:tc>
      </w:tr>
      <w:tr>
        <w:tc>
          <w:tcPr>
            <w:tcW w:w="1872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center"/>
            </w:pPr>
            <w:r>
              <w:t xml:space="preserve">Poisson</w:t>
            </w:r>
          </w:p>
        </w:tc>
        <w:tc>
          <w:tcPr>
            <w:tcW w:w="1872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center"/>
            </w:pPr>
            <w:r>
              <w:t xml:space="preserve">NB</w:t>
            </w:r>
          </w:p>
        </w:tc>
        <w:tc>
          <w:tcPr>
            <w:tcW w:w="1872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center"/>
            </w:pPr>
            <w:r>
              <w:t xml:space="preserve">ZINB</w:t>
            </w:r>
          </w:p>
        </w:tc>
        <w:tc>
          <w:tcPr>
            <w:tcW w:w="1872" w:type="dxa"/>
            <w:tcBorders>
              <w:top w:val="single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center"/>
            </w:pPr>
            <w:r>
              <w:t xml:space="preserve">Hurdle</w:t>
            </w:r>
          </w:p>
        </w:tc>
      </w:tr>
      <w:tr>
        <w:tc>
          <w:tcPr>
            <w:tcW w:w="1872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Site</w:t>
            </w:r>
          </w:p>
        </w:tc>
        <w:tc>
          <w:tcPr>
            <w:tcW w:w="1872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single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Sarada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0.656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0.662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-0.382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-3.694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Nawaka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1.065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1.045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0.126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1.445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Sex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Female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1.048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1.082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0.034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0.291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Age (standardised z-score)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1.216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1.249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0.157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1.478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Toothbrushing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1/day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1.069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1.036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0.058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0.542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&gt;=2/day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1.060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1.058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-0.001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-0.285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Tobacco use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Yes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1.124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1.165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0.109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0.978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Alcohol use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Yes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1.039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1.026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0.007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0.068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Intercept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8.200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8.159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2.191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8.945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ln(α)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-1.221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-2.129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alpha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0.295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0.119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/sigma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4.277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Site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Sarada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0.459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Nawaka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0.556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Age (standardised z-score)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-0.663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Intercept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-2.925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Site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Sarada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-0.274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Nawaka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-0.303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Sex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  Female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0.118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Age (standardised z-score)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0.276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Intercept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1.550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Intercept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</w:tcPr>
          <w:p>
            <w:pPr>
              <w:spacing w:after="0"/>
            </w:pP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1.453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Number of observations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225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225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225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225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Log pseudolikelihood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-730.45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-651.75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-626.17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-625.14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AIC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1478.89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1323.50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1280.34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nil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1280.27</w:t>
            </w:r>
          </w:p>
        </w:tc>
      </w:tr>
      <w:tr>
        <w:tc>
          <w:tcPr>
            <w:tcW w:w="1872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left"/>
            </w:pPr>
            <w:r>
              <w:t xml:space="preserve">BIC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1509.64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1357.66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1328.16</w:t>
            </w:r>
          </w:p>
        </w:tc>
        <w:tc>
          <w:tcPr>
            <w:tcW w:w="1872" w:type="dxa"/>
            <w:tcBorders>
              <w:top w:val="nil" w:color="000000"/>
              <w:left w:val="nil" w:color="000000"/>
              <w:bottom w:val="single" w:color="000000"/>
              <w:right w:val="nil" w:color="000000"/>
            </w:tcBorders>
            <w:vAlign w:val="bottom"/>
          </w:tcPr>
          <w:p>
            <w:pPr>
              <w:spacing w:after="0"/>
              <w:jc w:val="right"/>
            </w:pPr>
            <w:r>
              <w:t xml:space="preserve">1331.52</w:t>
            </w:r>
          </w:p>
        </w:tc>
      </w:tr>
    </w:tbl>
    <w:p>
      <w:r>
        <w:t/>
      </w:r>
    </w:p>
    <w:sectPr>
      <w:pgSz w:w="12240" w:h="15840" w:code="1"/>
      <w:pgMar w:top="1440" w:right="1440" w:bottom="144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<Relationships xmlns="http://schemas.openxmlformats.org/package/2006/relationships"><Relationship Target="styles.xml" Type="http://schemas.openxmlformats.org/officeDocument/2006/relationships/styles" Id="rId1"/><Relationship Target="settings.xml" Type="http://schemas.openxmlformats.org/officeDocument/2006/relationships/settings" Id="rId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