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w:tbl>
      <w:tblPr>
        <w:tblStyle w:val="TableGrid"/>
      </w:tblPr>
      <w:tblGrid>
        <w:gridCol w:w="2340"/>
        <w:gridCol w:w="2340"/>
        <w:gridCol w:w="2340"/>
        <w:gridCol w:w="2340"/>
      </w:tblGrid>
      <w:tr>
        <w:tc>
          <w:tcPr>
            <w:gridSpan w:val="4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</w:tcPr>
          <w:p>
            <w:pPr>
              <w:spacing w:after="0"/>
            </w:pPr>
            <w:r>
              <w:t xml:space="preserve">Supplementary Table S2. Sensitivity analysis: covariate effects on DMFT under three count specifications. Columns 1-2 (NB, ZINB) report IRR (95% CI); column 3 (hurdle linear) reports linear-scale coefficients (count component). Site, age and tobacco effects are stable in direction and magnitude across all three specifications.</w:t>
            </w:r>
          </w:p>
        </w:tc>
      </w:tr>
      <w:tr>
        <w:tc>
          <w:tcPr>
            <w:tcW w:w="2340" w:type="dxa"/>
            <w:tcBorders>
              <w:top w:val="single" w:color="000000"/>
              <w:left w:val="nil" w:color="000000"/>
              <w:bottom w:val="single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single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center"/>
            </w:pPr>
            <w:r>
              <w:t xml:space="preserve">NB (primary)</w:t>
            </w:r>
          </w:p>
        </w:tc>
        <w:tc>
          <w:tcPr>
            <w:tcW w:w="2340" w:type="dxa"/>
            <w:tcBorders>
              <w:top w:val="single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center"/>
            </w:pPr>
            <w:r>
              <w:t xml:space="preserve">ZINB</w:t>
            </w:r>
          </w:p>
        </w:tc>
        <w:tc>
          <w:tcPr>
            <w:tcW w:w="2340" w:type="dxa"/>
            <w:tcBorders>
              <w:top w:val="single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center"/>
            </w:pPr>
            <w:r>
              <w:t xml:space="preserve">Hurdle (linear)</w:t>
            </w:r>
          </w:p>
        </w:tc>
      </w:tr>
      <w:tr>
        <w:tc>
          <w:tcPr>
            <w:tcW w:w="2340" w:type="dxa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Site</w:t>
            </w:r>
          </w:p>
        </w:tc>
        <w:tc>
          <w:tcPr>
            <w:tcW w:w="2340" w:type="dxa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Sarada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0.66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0.68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-3.69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[0.56   0.79]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[0.59   0.79]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[-5.12  -2.27]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Nawaka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1.04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1.13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1.44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[0.81   1.34]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[0.94   1.38]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[-0.66   3.55]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Sex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Female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1.08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1.03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0.29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[0.90   1.30]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[0.89   1.20]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[-1.16   1.74]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Age (standardised z-score)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1.25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1.17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1.48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[1.13   1.39]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[1.09   1.26]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[0.76   2.20]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Toothbrushing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1/day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1.04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1.06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0.54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[0.85   1.26]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[0.89   1.25]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[-1.04   2.13]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&gt;=2/day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1.06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1.00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-0.28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[0.79   1.42]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[0.78   1.28]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[-2.85   2.28]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Tobacco use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Yes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1.17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1.12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0.98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[0.93   1.46]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[0.92   1.35]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[-0.82   2.78]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Alcohol use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Yes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1.03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1.01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0.07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[0.85   1.23]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[0.85   1.19]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[-1.54   1.68]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Intercept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8.16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8.94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8.94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[6.51  10.23]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[7.37  10.86]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[7.00  10.89]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ln(α)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-1.22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-2.13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[-1.63  -0.81]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[-2.59  -1.67]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alpha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0.29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0.12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[0.20   0.44]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[0.08   0.19]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/sigma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4.28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[3.76   4.86]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Site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Sarada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0.46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[-0.70   1.62]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Nawaka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0.56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[-0.84   1.95]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Age (standardised z-score)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-0.66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[-1.44   0.11]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Intercept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-2.93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[-3.98  -1.87]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Site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Sarada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-0.27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[-0.83   0.28]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Nawaka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-0.30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[-1.03   0.42]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Sex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Female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0.12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[-0.33   0.57]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Age (standardised z-score)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0.28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[-0.03   0.58]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Intercept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1.55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[1.04   2.06]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Intercept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1.45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2340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[1.33   1.58]</w:t>
            </w:r>
          </w:p>
        </w:tc>
      </w:tr>
      <w:tr>
        <w:tc>
          <w:tcPr>
            <w:tcW w:w="2340" w:type="dxa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Number of observations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225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225</w:t>
            </w:r>
          </w:p>
        </w:tc>
        <w:tc>
          <w:tcPr>
            <w:tcW w:w="2340" w:type="dxa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225</w:t>
            </w:r>
          </w:p>
        </w:tc>
      </w:tr>
      <w:tr>
        <w:tc>
          <w:tcPr>
            <w:gridSpan w:val="4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  <w:r>
              <w:t xml:space="preserve">ZINB inflation equation: Site + Age (z-score). Hurdle selection equation: Site + Age (z-score) + Sex, lower limit at 0. All models use robust standard errors.</w:t>
            </w:r>
          </w:p>
        </w:tc>
      </w:tr>
    </w:tbl>
    <w:p>
      <w:r>
        <w:t/>
      </w:r>
    </w:p>
    <w:sectPr>
      <w:pgSz w:w="12240" w:h="15840" w:code="1"/>
      <w:pgMar w:top="1440" w:right="1440" w:bottom="144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<Relationships xmlns="http://schemas.openxmlformats.org/package/2006/relationships"><Relationship Target="styles.xml" Type="http://schemas.openxmlformats.org/officeDocument/2006/relationships/styles" Id="rId1"/><Relationship Target="settings.xml" Type="http://schemas.openxmlformats.org/officeDocument/2006/relationships/settings" Id="rId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