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jc w:val="center"/>
      </w:pPr>
      <w:r>
        <w:rPr>
          <w:rFonts w:ascii="Times New Roman" w:cs="Times New Roman" w:eastAsia="Times New Roman" w:hAnsi="Times New Roman"/>
          <w:b/>
          <w:bCs/>
          <w:sz w:val="32"/>
          <w:szCs w:val="32"/>
        </w:rPr>
        <w:t xml:space="preserve">Supplementary Material</w:t>
      </w:r>
    </w:p>
    <w:p>
      <w:pPr>
        <w:spacing w:after="120"/>
        <w:jc w:val="center"/>
      </w:pPr>
      <w:r>
        <w:rPr>
          <w:rFonts w:ascii="Times New Roman" w:cs="Times New Roman" w:eastAsia="Times New Roman" w:hAnsi="Times New Roman"/>
          <w:b/>
          <w:bCs/>
          <w:sz w:val="26"/>
          <w:szCs w:val="26"/>
        </w:rPr>
        <w:t xml:space="preserve">Survey Instruments and Protocols</w:t>
      </w:r>
    </w:p>
    <w:p>
      <w:pPr>
        <w:spacing w:after="80"/>
        <w:jc w:val="center"/>
      </w:pPr>
      <w:r>
        <w:rPr>
          <w:rFonts w:ascii="Times New Roman" w:cs="Times New Roman" w:eastAsia="Times New Roman" w:hAnsi="Times New Roman"/>
          <w:i/>
          <w:iCs/>
          <w:sz w:val="22"/>
          <w:szCs w:val="22"/>
        </w:rPr>
        <w:t xml:space="preserve">Full Documentation of Questionnaires, Measures, and Data-Collection Procedures</w:t>
      </w:r>
    </w:p>
    <w:p>
      <w:pPr>
        <w:spacing w:after="160"/>
      </w:pPr>
      <w:r>
        <w:rPr>
          <w:rFonts w:ascii="Times New Roman" w:cs="Times New Roman" w:eastAsia="Times New Roman" w:hAnsi="Times New Roman"/>
          <w:sz w:val="22"/>
          <w:szCs w:val="22"/>
        </w:rPr>
        <w:t xml:space="preserve"/>
      </w:r>
    </w:p>
    <w:p>
      <w:pPr>
        <w:spacing w:after="80"/>
        <w:jc w:val="center"/>
      </w:pPr>
      <w:r>
        <w:rPr>
          <w:rFonts w:ascii="Times New Roman" w:cs="Times New Roman" w:eastAsia="Times New Roman" w:hAnsi="Times New Roman"/>
          <w:i w:val="false"/>
          <w:iCs w:val="false"/>
          <w:sz w:val="22"/>
          <w:szCs w:val="22"/>
        </w:rPr>
        <w:t xml:space="preserve">Prepared as Supplementary Material for Journal Submission</w:t>
      </w:r>
    </w:p>
    <w:p>
      <w:pPr>
        <w:spacing w:after="80"/>
        <w:jc w:val="center"/>
      </w:pPr>
      <w:r>
        <w:rPr>
          <w:rFonts w:ascii="Times New Roman" w:cs="Times New Roman" w:eastAsia="Times New Roman" w:hAnsi="Times New Roman"/>
          <w:i w:val="false"/>
          <w:iCs w:val="false"/>
          <w:sz w:val="22"/>
          <w:szCs w:val="22"/>
        </w:rPr>
        <w:t xml:space="preserve">Companion to the manuscript:</w:t>
      </w:r>
    </w:p>
    <w:p>
      <w:pPr>
        <w:spacing w:after="80"/>
        <w:jc w:val="center"/>
      </w:pPr>
      <w:r>
        <w:rPr>
          <w:rFonts w:ascii="Times New Roman" w:cs="Times New Roman" w:eastAsia="Times New Roman" w:hAnsi="Times New Roman"/>
          <w:i/>
          <w:iCs/>
          <w:sz w:val="22"/>
          <w:szCs w:val="22"/>
        </w:rPr>
        <w:t xml:space="preserve">“Knowing without Knowing: How Confidence in Fake News Erodes Trust and Shapes Nuclear Power Acceptance after Fukushima”</w:t>
      </w:r>
    </w:p>
    <w:p>
      <w:pPr>
        <w:spacing w:after="80"/>
        <w:jc w:val="center"/>
      </w:pPr>
      <w:r>
        <w:rPr>
          <w:rFonts w:ascii="Times New Roman" w:cs="Times New Roman" w:eastAsia="Times New Roman" w:hAnsi="Times New Roman"/>
          <w:i w:val="false"/>
          <w:iCs w:val="false"/>
          <w:sz w:val="22"/>
          <w:szCs w:val="22"/>
        </w:rPr>
        <w:t xml:space="preserve">[Author Names Redacted for Peer Review]</w:t>
      </w:r>
    </w:p>
    <w:p>
      <w:pPr>
        <w:spacing w:after="120"/>
      </w:pPr>
      <w:r>
        <w:rPr>
          <w:rFonts w:ascii="Times New Roman" w:cs="Times New Roman" w:eastAsia="Times New Roman" w:hAnsi="Times New Roman"/>
          <w:sz w:val="22"/>
          <w:szCs w:val="22"/>
        </w:rPr>
        <w:t xml:space="preserve"/>
      </w:r>
    </w:p>
    <w:p>
      <w:pPr>
        <w:spacing w:after="140" w:line="300"/>
        <w:jc w:val="center"/>
      </w:pPr>
      <w:r>
        <w:rPr>
          <w:rFonts w:ascii="Times New Roman" w:cs="Times New Roman" w:eastAsia="Times New Roman" w:hAnsi="Times New Roman"/>
          <w:i/>
          <w:iCs/>
          <w:sz w:val="20"/>
          <w:szCs w:val="20"/>
        </w:rPr>
        <w:t xml:space="preserve">Data source: National Survey on Public Opinion toward Energy, Social Science Research Institute, Ajou University; fieldwork by Hankook Research, 17–23 May 2024 (N = 1,898).</w:t>
      </w:r>
    </w:p>
    <w:p>
      <w:r>
        <w:br w:type="page"/>
      </w:r>
    </w:p>
    <w:p>
      <w:pPr>
        <w:pStyle w:val="Heading1"/>
        <w:spacing w:after="140" w:before="320"/>
      </w:pPr>
      <w:r>
        <w:rPr>
          <w:rFonts w:ascii="Times New Roman" w:cs="Times New Roman" w:eastAsia="Times New Roman" w:hAnsi="Times New Roman"/>
          <w:b/>
          <w:bCs/>
          <w:sz w:val="28"/>
          <w:szCs w:val="28"/>
        </w:rPr>
        <w:t xml:space="preserve">Table of Contents</w:t>
      </w:r>
    </w:p>
    <w:p>
      <w:pPr>
        <w:spacing w:after="60" w:line="300"/>
      </w:pPr>
      <w:r>
        <w:rPr>
          <w:rFonts w:ascii="Times New Roman" w:cs="Times New Roman" w:eastAsia="Times New Roman" w:hAnsi="Times New Roman"/>
          <w:sz w:val="22"/>
          <w:szCs w:val="22"/>
        </w:rPr>
        <w:t xml:space="preserve">1. Overview of the Study</w:t>
      </w:r>
    </w:p>
    <w:p>
      <w:pPr>
        <w:spacing w:after="60" w:line="300"/>
      </w:pPr>
      <w:r>
        <w:rPr>
          <w:rFonts w:ascii="Times New Roman" w:cs="Times New Roman" w:eastAsia="Times New Roman" w:hAnsi="Times New Roman"/>
          <w:sz w:val="22"/>
          <w:szCs w:val="22"/>
        </w:rPr>
        <w:t xml:space="preserve">2. Survey Design and Sampling Framework</w:t>
      </w:r>
    </w:p>
    <w:p>
      <w:pPr>
        <w:spacing w:after="60" w:line="300"/>
      </w:pPr>
      <w:r>
        <w:rPr>
          <w:rFonts w:ascii="Times New Roman" w:cs="Times New Roman" w:eastAsia="Times New Roman" w:hAnsi="Times New Roman"/>
          <w:sz w:val="22"/>
          <w:szCs w:val="22"/>
        </w:rPr>
        <w:t xml:space="preserve">3. Full Questionnaire Documentation</w:t>
      </w:r>
    </w:p>
    <w:p>
      <w:pPr>
        <w:spacing w:after="60" w:line="300"/>
      </w:pPr>
      <w:r>
        <w:rPr>
          <w:rFonts w:ascii="Times New Roman" w:cs="Times New Roman" w:eastAsia="Times New Roman" w:hAnsi="Times New Roman"/>
          <w:sz w:val="22"/>
          <w:szCs w:val="22"/>
        </w:rPr>
        <w:t xml:space="preserve">      3.1 Screening Questions and Demographics</w:t>
      </w:r>
    </w:p>
    <w:p>
      <w:pPr>
        <w:spacing w:after="60" w:line="300"/>
      </w:pPr>
      <w:r>
        <w:rPr>
          <w:rFonts w:ascii="Times New Roman" w:cs="Times New Roman" w:eastAsia="Times New Roman" w:hAnsi="Times New Roman"/>
          <w:sz w:val="22"/>
          <w:szCs w:val="22"/>
        </w:rPr>
        <w:t xml:space="preserve">      3.2 Section A: Dependent Variable — Nuclear Power Plant Acceptance</w:t>
      </w:r>
    </w:p>
    <w:p>
      <w:pPr>
        <w:spacing w:after="60" w:line="300"/>
      </w:pPr>
      <w:r>
        <w:rPr>
          <w:rFonts w:ascii="Times New Roman" w:cs="Times New Roman" w:eastAsia="Times New Roman" w:hAnsi="Times New Roman"/>
          <w:sz w:val="22"/>
          <w:szCs w:val="22"/>
        </w:rPr>
        <w:t xml:space="preserve">      3.3 Section B: Risk-Perception and Trust Constructs</w:t>
      </w:r>
    </w:p>
    <w:p>
      <w:pPr>
        <w:spacing w:after="60" w:line="300"/>
      </w:pPr>
      <w:r>
        <w:rPr>
          <w:rFonts w:ascii="Times New Roman" w:cs="Times New Roman" w:eastAsia="Times New Roman" w:hAnsi="Times New Roman"/>
          <w:sz w:val="22"/>
          <w:szCs w:val="22"/>
        </w:rPr>
        <w:t xml:space="preserve">      3.4 Section C: Fukushima Treated Radioactive Water (FTRW) Constructs</w:t>
      </w:r>
    </w:p>
    <w:p>
      <w:pPr>
        <w:spacing w:after="60" w:line="300"/>
      </w:pPr>
      <w:r>
        <w:rPr>
          <w:rFonts w:ascii="Times New Roman" w:cs="Times New Roman" w:eastAsia="Times New Roman" w:hAnsi="Times New Roman"/>
          <w:sz w:val="22"/>
          <w:szCs w:val="22"/>
        </w:rPr>
        <w:t xml:space="preserve">      3.5 Section D: Confidence in Fake News</w:t>
      </w:r>
    </w:p>
    <w:p>
      <w:pPr>
        <w:spacing w:after="60" w:line="300"/>
      </w:pPr>
      <w:r>
        <w:rPr>
          <w:rFonts w:ascii="Times New Roman" w:cs="Times New Roman" w:eastAsia="Times New Roman" w:hAnsi="Times New Roman"/>
          <w:sz w:val="22"/>
          <w:szCs w:val="22"/>
        </w:rPr>
        <w:t xml:space="preserve">4. Control Variables and Background Items</w:t>
      </w:r>
    </w:p>
    <w:p>
      <w:pPr>
        <w:spacing w:after="60" w:line="300"/>
      </w:pPr>
      <w:r>
        <w:rPr>
          <w:rFonts w:ascii="Times New Roman" w:cs="Times New Roman" w:eastAsia="Times New Roman" w:hAnsi="Times New Roman"/>
          <w:sz w:val="22"/>
          <w:szCs w:val="22"/>
        </w:rPr>
        <w:t xml:space="preserve">5. Data-Collection Procedures</w:t>
      </w:r>
    </w:p>
    <w:p>
      <w:pPr>
        <w:spacing w:after="60" w:line="300"/>
      </w:pPr>
      <w:r>
        <w:rPr>
          <w:rFonts w:ascii="Times New Roman" w:cs="Times New Roman" w:eastAsia="Times New Roman" w:hAnsi="Times New Roman"/>
          <w:sz w:val="22"/>
          <w:szCs w:val="22"/>
        </w:rPr>
        <w:t xml:space="preserve">      5.1 Survey Administration</w:t>
      </w:r>
    </w:p>
    <w:p>
      <w:pPr>
        <w:spacing w:after="60" w:line="300"/>
      </w:pPr>
      <w:r>
        <w:rPr>
          <w:rFonts w:ascii="Times New Roman" w:cs="Times New Roman" w:eastAsia="Times New Roman" w:hAnsi="Times New Roman"/>
          <w:sz w:val="22"/>
          <w:szCs w:val="22"/>
        </w:rPr>
        <w:t xml:space="preserve">      5.2 Quality-Control Measures</w:t>
      </w:r>
    </w:p>
    <w:p>
      <w:pPr>
        <w:spacing w:after="60" w:line="300"/>
      </w:pPr>
      <w:r>
        <w:rPr>
          <w:rFonts w:ascii="Times New Roman" w:cs="Times New Roman" w:eastAsia="Times New Roman" w:hAnsi="Times New Roman"/>
          <w:sz w:val="22"/>
          <w:szCs w:val="22"/>
        </w:rPr>
        <w:t xml:space="preserve">      5.3 Data Processing and Cleaning</w:t>
      </w:r>
    </w:p>
    <w:p>
      <w:pPr>
        <w:spacing w:after="60" w:line="300"/>
      </w:pPr>
      <w:r>
        <w:rPr>
          <w:rFonts w:ascii="Times New Roman" w:cs="Times New Roman" w:eastAsia="Times New Roman" w:hAnsi="Times New Roman"/>
          <w:sz w:val="22"/>
          <w:szCs w:val="22"/>
        </w:rPr>
        <w:t xml:space="preserve">6. Ethical Considerations</w:t>
      </w:r>
    </w:p>
    <w:p>
      <w:pPr>
        <w:spacing w:after="60" w:line="300"/>
      </w:pPr>
      <w:r>
        <w:rPr>
          <w:rFonts w:ascii="Times New Roman" w:cs="Times New Roman" w:eastAsia="Times New Roman" w:hAnsi="Times New Roman"/>
          <w:sz w:val="22"/>
          <w:szCs w:val="22"/>
        </w:rPr>
        <w:t xml:space="preserve">7. Variable Coding and Data Dictionary</w:t>
      </w:r>
    </w:p>
    <w:p>
      <w:pPr>
        <w:spacing w:after="60" w:line="300"/>
      </w:pPr>
      <w:r>
        <w:rPr>
          <w:rFonts w:ascii="Times New Roman" w:cs="Times New Roman" w:eastAsia="Times New Roman" w:hAnsi="Times New Roman"/>
          <w:sz w:val="22"/>
          <w:szCs w:val="22"/>
        </w:rPr>
        <w:t xml:space="preserve">Appendix A: Construct Reliability and Descriptive Summary</w:t>
      </w:r>
    </w:p>
    <w:p>
      <w:pPr>
        <w:spacing w:after="60" w:line="300"/>
      </w:pPr>
      <w:r>
        <w:rPr>
          <w:rFonts w:ascii="Times New Roman" w:cs="Times New Roman" w:eastAsia="Times New Roman" w:hAnsi="Times New Roman"/>
          <w:sz w:val="22"/>
          <w:szCs w:val="22"/>
        </w:rPr>
        <w:t xml:space="preserve">Appendix B: Scale Construction and Mean-Centring for Moderation Analyses</w:t>
      </w:r>
    </w:p>
    <w:p>
      <w:pPr>
        <w:spacing w:after="120" w:before="240" w:line="300"/>
      </w:pPr>
      <w:r>
        <w:rPr>
          <w:rFonts w:ascii="Times New Roman" w:cs="Times New Roman" w:eastAsia="Times New Roman" w:hAnsi="Times New Roman"/>
          <w:b/>
          <w:bCs/>
          <w:i/>
          <w:iCs/>
          <w:sz w:val="20"/>
          <w:szCs w:val="20"/>
        </w:rPr>
        <w:t xml:space="preserve">Note on scope. </w:t>
      </w:r>
      <w:r>
        <w:rPr>
          <w:rFonts w:ascii="Times New Roman" w:cs="Times New Roman" w:eastAsia="Times New Roman" w:hAnsi="Times New Roman"/>
          <w:i/>
          <w:iCs/>
          <w:sz w:val="20"/>
          <w:szCs w:val="20"/>
        </w:rPr>
        <w:t xml:space="preserve">This document records only the modules drawn upon in the companion manuscript. The parent survey was a broader, multi-topic energy study that also contained modules on environmental values, the new ecological paradigm, science–technology attitudes, a high-level radioactive-waste repository, and regional image; those modules are not reproduced here. A complete English translation of the relevant instrument is provided as a separate companion file.</w:t>
      </w:r>
    </w:p>
    <w:p>
      <w:r>
        <w:br w:type="page"/>
      </w:r>
    </w:p>
    <w:p>
      <w:pPr>
        <w:pStyle w:val="Heading1"/>
        <w:spacing w:after="140" w:before="320"/>
      </w:pPr>
      <w:r>
        <w:rPr>
          <w:rFonts w:ascii="Times New Roman" w:cs="Times New Roman" w:eastAsia="Times New Roman" w:hAnsi="Times New Roman"/>
          <w:b/>
          <w:bCs/>
          <w:sz w:val="28"/>
          <w:szCs w:val="28"/>
        </w:rPr>
        <w:t xml:space="preserve">1. Overview of the Study</w:t>
      </w:r>
    </w:p>
    <w:p>
      <w:pPr>
        <w:spacing w:after="140" w:line="320"/>
        <w:jc w:val="both"/>
      </w:pPr>
      <w:r>
        <w:rPr>
          <w:rFonts w:ascii="Times New Roman" w:cs="Times New Roman" w:eastAsia="Times New Roman" w:hAnsi="Times New Roman"/>
          <w:sz w:val="22"/>
          <w:szCs w:val="22"/>
        </w:rPr>
        <w:t xml:space="preserve">The companion study investigates how confidence in fake news about the Fukushima treated radioactive water (FTRW) discharge shapes public acceptance of nuclear power plants (NPPs) in South Korea, and whether such confidence alters the way people weigh institutional trust, knowledge, and their own perceived risk. The analysis draws on a nationally representative web survey of South Korean adults conducted shortly after Japan began discharging treated water in August 2023.</w:t>
      </w:r>
    </w:p>
    <w:p>
      <w:pPr>
        <w:spacing w:after="140" w:line="320"/>
        <w:jc w:val="both"/>
      </w:pPr>
      <w:r>
        <w:rPr>
          <w:rFonts w:ascii="Times New Roman" w:cs="Times New Roman" w:eastAsia="Times New Roman" w:hAnsi="Times New Roman"/>
          <w:sz w:val="22"/>
          <w:szCs w:val="22"/>
        </w:rPr>
        <w:t xml:space="preserve">The constructs analysed in the manuscript map onto specific survey modules as follows: nuclear power plant acceptance (the dependent variable); perceived risk of nuclear power; trust in nuclear technology and government; knowledge about nuclear safety organisations and policy; perceived risk of the Fukushima accident; trust in FTRW-related organisations (the IAEA and the Korean inspection team); knowledge about the FTRW discharge; and confidence in fake news, measured with a purpose-built eight-item scale combining false and factually accurate statements. Sociodemographic characteristics and political ideology serve as controls.</w:t>
      </w:r>
    </w:p>
    <w:p>
      <w:pPr>
        <w:spacing w:after="140" w:line="320"/>
        <w:jc w:val="both"/>
      </w:pPr>
      <w:r>
        <w:rPr>
          <w:rFonts w:ascii="Times New Roman" w:cs="Times New Roman" w:eastAsia="Times New Roman" w:hAnsi="Times New Roman"/>
          <w:sz w:val="22"/>
          <w:szCs w:val="22"/>
        </w:rPr>
        <w:t xml:space="preserve">This supplement documents the sampling framework, the verbatim measurement items (in English translation), the response scales, the data-collection and quality-control procedures, ethical safeguards, and the coding rules used to construct the analytic variables, so that the study can be independently evaluated and reproduced.</w:t>
      </w:r>
    </w:p>
    <w:p>
      <w:pPr>
        <w:pStyle w:val="Heading1"/>
        <w:spacing w:after="140" w:before="320"/>
      </w:pPr>
      <w:r>
        <w:rPr>
          <w:rFonts w:ascii="Times New Roman" w:cs="Times New Roman" w:eastAsia="Times New Roman" w:hAnsi="Times New Roman"/>
          <w:b/>
          <w:bCs/>
          <w:sz w:val="28"/>
          <w:szCs w:val="28"/>
        </w:rPr>
        <w:t xml:space="preserve">2. Survey Design and Sampling Framework</w:t>
      </w:r>
    </w:p>
    <w:p>
      <w:pPr>
        <w:spacing w:after="140" w:line="320"/>
        <w:jc w:val="both"/>
      </w:pPr>
      <w:r>
        <w:rPr>
          <w:rFonts w:ascii="Times New Roman" w:cs="Times New Roman" w:eastAsia="Times New Roman" w:hAnsi="Times New Roman"/>
          <w:sz w:val="22"/>
          <w:szCs w:val="22"/>
        </w:rPr>
        <w:t xml:space="preserve">The survey employed a cross-sectional, self-administered web design. Respondents were drawn from the online access panel maintained by Hankook Research, a professional survey organisation, using proportional quota sampling. The sampling parameters are summarised in Table S1.</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6160"/>
      </w:tblGrid>
      <w:tr>
        <w:tc>
          <w:tcPr>
            <w:tcW w:type="dxa" w:w="3200"/>
            <w:tcBorders>
              <w:top w:val="single" w:color="AAAAAA" w:sz="1"/>
              <w:left w:val="single" w:color="AAAAAA" w:sz="1"/>
              <w:bottom w:val="single" w:color="AAAAAA" w:sz="1"/>
              <w:right w:val="single" w:color="AAAAAA" w:sz="1"/>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0"/>
                <w:szCs w:val="20"/>
              </w:rPr>
              <w:t xml:space="preserve">Parameter</w:t>
            </w:r>
          </w:p>
        </w:tc>
        <w:tc>
          <w:tcPr>
            <w:tcW w:type="dxa" w:w="6160"/>
            <w:tcBorders>
              <w:top w:val="single" w:color="AAAAAA" w:sz="1"/>
              <w:left w:val="single" w:color="AAAAAA" w:sz="1"/>
              <w:bottom w:val="single" w:color="AAAAAA" w:sz="1"/>
              <w:right w:val="single" w:color="AAAAAA" w:sz="1"/>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0"/>
                <w:szCs w:val="20"/>
              </w:rPr>
              <w:t xml:space="preserve">Specification</w:t>
            </w:r>
          </w:p>
        </w:tc>
      </w:tr>
      <w:tr>
        <w:tc>
          <w:tcPr>
            <w:tcW w:type="dxa" w:w="32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Target population</w:t>
            </w:r>
          </w:p>
        </w:tc>
        <w:tc>
          <w:tcPr>
            <w:tcW w:type="dxa" w:w="61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Adults aged 18 and older nationwide (Republic of Korea)</w:t>
            </w:r>
          </w:p>
        </w:tc>
      </w:tr>
      <w:tr>
        <w:tc>
          <w:tcPr>
            <w:tcW w:type="dxa" w:w="32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Sampling frame</w:t>
            </w:r>
          </w:p>
        </w:tc>
        <w:tc>
          <w:tcPr>
            <w:tcW w:type="dxa" w:w="61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Hankook Research master panel (approx. 920,000 members)</w:t>
            </w:r>
          </w:p>
        </w:tc>
      </w:tr>
      <w:tr>
        <w:tc>
          <w:tcPr>
            <w:tcW w:type="dxa" w:w="32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Sampling method</w:t>
            </w:r>
          </w:p>
        </w:tc>
        <w:tc>
          <w:tcPr>
            <w:tcW w:type="dxa" w:w="61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Proportional quota sampling by region, sex, and age group</w:t>
            </w:r>
          </w:p>
        </w:tc>
      </w:tr>
      <w:tr>
        <w:tc>
          <w:tcPr>
            <w:tcW w:type="dxa" w:w="32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Sample size</w:t>
            </w:r>
          </w:p>
        </w:tc>
        <w:tc>
          <w:tcPr>
            <w:tcW w:type="dxa" w:w="61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1,898 respondents</w:t>
            </w:r>
          </w:p>
        </w:tc>
      </w:tr>
      <w:tr>
        <w:tc>
          <w:tcPr>
            <w:tcW w:type="dxa" w:w="32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Sampling error</w:t>
            </w:r>
          </w:p>
        </w:tc>
        <w:tc>
          <w:tcPr>
            <w:tcW w:type="dxa" w:w="61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±2.2 percentage points at the 95% confidence level (assuming simple random sampling)</w:t>
            </w:r>
          </w:p>
        </w:tc>
      </w:tr>
      <w:tr>
        <w:tc>
          <w:tcPr>
            <w:tcW w:type="dxa" w:w="32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Mode</w:t>
            </w:r>
          </w:p>
        </w:tc>
        <w:tc>
          <w:tcPr>
            <w:tcW w:type="dxa" w:w="61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Web (computer-assisted self-interview)</w:t>
            </w:r>
          </w:p>
        </w:tc>
      </w:tr>
      <w:tr>
        <w:tc>
          <w:tcPr>
            <w:tcW w:type="dxa" w:w="32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Fieldwork dates</w:t>
            </w:r>
          </w:p>
        </w:tc>
        <w:tc>
          <w:tcPr>
            <w:tcW w:type="dxa" w:w="61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17–23 May 2024</w:t>
            </w:r>
          </w:p>
        </w:tc>
      </w:tr>
      <w:tr>
        <w:tc>
          <w:tcPr>
            <w:tcW w:type="dxa" w:w="32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Fielding organisation</w:t>
            </w:r>
          </w:p>
        </w:tc>
        <w:tc>
          <w:tcPr>
            <w:tcW w:type="dxa" w:w="61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Hankook Research</w:t>
            </w:r>
          </w:p>
        </w:tc>
      </w:tr>
    </w:tbl>
    <w:p>
      <w:pPr>
        <w:spacing w:after="160" w:before="60"/>
      </w:pPr>
      <w:r>
        <w:rPr>
          <w:rFonts w:ascii="Times New Roman" w:cs="Times New Roman" w:eastAsia="Times New Roman" w:hAnsi="Times New Roman"/>
          <w:i/>
          <w:iCs/>
          <w:sz w:val="20"/>
          <w:szCs w:val="20"/>
        </w:rPr>
        <w:t xml:space="preserve">Table S1. Survey design and sampling parameters.</w:t>
      </w:r>
    </w:p>
    <w:p>
      <w:pPr>
        <w:spacing w:after="140" w:line="320"/>
        <w:jc w:val="both"/>
      </w:pPr>
      <w:r>
        <w:rPr>
          <w:rFonts w:ascii="Times New Roman" w:cs="Times New Roman" w:eastAsia="Times New Roman" w:hAnsi="Times New Roman"/>
          <w:sz w:val="22"/>
          <w:szCs w:val="22"/>
        </w:rPr>
        <w:t xml:space="preserve">Quotas for region, sex, and age group were set to reflect the distribution of the South Korean adult population. The achieved sample comprised 49.6% men and 50.4% women, with the following age distribution: 18–29 (16.2%), 30–39 (14.9%), 40–49 (17.5%), 50–59 (19.5%), and 60 or older (31.8%). The timing of the fieldwork—roughly nine months after the initial discharge—was chosen to capture public opinion once the controversy and accompanying misinformation had become firmly established in public discourse.</w:t>
      </w:r>
    </w:p>
    <w:p>
      <w:pPr>
        <w:pStyle w:val="Heading1"/>
        <w:spacing w:after="140" w:before="320"/>
      </w:pPr>
      <w:r>
        <w:rPr>
          <w:rFonts w:ascii="Times New Roman" w:cs="Times New Roman" w:eastAsia="Times New Roman" w:hAnsi="Times New Roman"/>
          <w:b/>
          <w:bCs/>
          <w:sz w:val="28"/>
          <w:szCs w:val="28"/>
        </w:rPr>
        <w:t xml:space="preserve">3. Full Questionnaire Documentation</w:t>
      </w:r>
    </w:p>
    <w:p>
      <w:pPr>
        <w:spacing w:after="140" w:line="320"/>
        <w:jc w:val="both"/>
      </w:pPr>
      <w:r>
        <w:rPr>
          <w:rFonts w:ascii="Times New Roman" w:cs="Times New Roman" w:eastAsia="Times New Roman" w:hAnsi="Times New Roman"/>
          <w:sz w:val="22"/>
          <w:szCs w:val="22"/>
        </w:rPr>
        <w:t xml:space="preserve">All multi-item constructs were measured on five-point Likert scales unless otherwise noted. Items are presented in English translation; the original instrument was administered in Korean. Original variable names (as stored in the data file) are given in parentheses. A complete translated questionnaire is provided as a separate companion file.</w:t>
      </w:r>
    </w:p>
    <w:p>
      <w:pPr>
        <w:spacing w:after="100" w:before="220"/>
      </w:pPr>
      <w:r>
        <w:rPr>
          <w:rFonts w:ascii="Times New Roman" w:cs="Times New Roman" w:eastAsia="Times New Roman" w:hAnsi="Times New Roman"/>
          <w:b/>
          <w:bCs/>
          <w:sz w:val="25"/>
          <w:szCs w:val="25"/>
        </w:rPr>
        <w:t xml:space="preserve">3.1 Screening Questions and Demographics</w:t>
      </w:r>
    </w:p>
    <w:p>
      <w:pPr>
        <w:spacing w:after="140" w:line="320"/>
        <w:jc w:val="both"/>
      </w:pPr>
      <w:r>
        <w:rPr>
          <w:rFonts w:ascii="Times New Roman" w:cs="Times New Roman" w:eastAsia="Times New Roman" w:hAnsi="Times New Roman"/>
          <w:sz w:val="22"/>
          <w:szCs w:val="22"/>
        </w:rPr>
        <w:t xml:space="preserve">Screening and demographic items established eligibility and provided the control variables used in the analysis.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5360"/>
        <w:gridCol w:w="2600"/>
      </w:tblGrid>
      <w:tr>
        <w:tc>
          <w:tcPr>
            <w:tcW w:type="dxa" w:w="1400"/>
            <w:tcBorders>
              <w:top w:val="single" w:color="AAAAAA" w:sz="1"/>
              <w:left w:val="single" w:color="AAAAAA" w:sz="1"/>
              <w:bottom w:val="single" w:color="AAAAAA" w:sz="1"/>
              <w:right w:val="single" w:color="AAAAAA" w:sz="1"/>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0"/>
                <w:szCs w:val="20"/>
              </w:rPr>
              <w:t xml:space="preserve">Variable</w:t>
            </w:r>
          </w:p>
        </w:tc>
        <w:tc>
          <w:tcPr>
            <w:tcW w:type="dxa" w:w="5360"/>
            <w:tcBorders>
              <w:top w:val="single" w:color="AAAAAA" w:sz="1"/>
              <w:left w:val="single" w:color="AAAAAA" w:sz="1"/>
              <w:bottom w:val="single" w:color="AAAAAA" w:sz="1"/>
              <w:right w:val="single" w:color="AAAAAA" w:sz="1"/>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0"/>
                <w:szCs w:val="20"/>
              </w:rPr>
              <w:t xml:space="preserve">Item (English)</w:t>
            </w:r>
          </w:p>
        </w:tc>
        <w:tc>
          <w:tcPr>
            <w:tcW w:type="dxa" w:w="2600"/>
            <w:tcBorders>
              <w:top w:val="single" w:color="AAAAAA" w:sz="1"/>
              <w:left w:val="single" w:color="AAAAAA" w:sz="1"/>
              <w:bottom w:val="single" w:color="AAAAAA" w:sz="1"/>
              <w:right w:val="single" w:color="AAAAAA" w:sz="1"/>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0"/>
                <w:szCs w:val="20"/>
              </w:rPr>
              <w:t xml:space="preserve">Response options</w:t>
            </w:r>
          </w:p>
        </w:tc>
      </w:tr>
      <w:tr>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SQ1</w:t>
            </w:r>
          </w:p>
        </w:tc>
        <w:tc>
          <w:tcPr>
            <w:tcW w:type="dxa" w:w="53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What is your sex?</w:t>
            </w:r>
          </w:p>
        </w:tc>
        <w:tc>
          <w:tcPr>
            <w:tcW w:type="dxa" w:w="26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1 = Male; 2 = Female</w:t>
            </w:r>
          </w:p>
        </w:tc>
      </w:tr>
      <w:tr>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SQ2</w:t>
            </w:r>
          </w:p>
        </w:tc>
        <w:tc>
          <w:tcPr>
            <w:tcW w:type="dxa" w:w="53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Your age in years (open response)</w:t>
            </w:r>
          </w:p>
        </w:tc>
        <w:tc>
          <w:tcPr>
            <w:tcW w:type="dxa" w:w="26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0–99 (auto-coded to age bands; under 18 terminated)</w:t>
            </w:r>
          </w:p>
        </w:tc>
      </w:tr>
      <w:tr>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SQ3</w:t>
            </w:r>
          </w:p>
        </w:tc>
        <w:tc>
          <w:tcPr>
            <w:tcW w:type="dxa" w:w="53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Region of residence</w:t>
            </w:r>
          </w:p>
        </w:tc>
        <w:tc>
          <w:tcPr>
            <w:tcW w:type="dxa" w:w="26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17 provinces / metropolitan cities</w:t>
            </w:r>
          </w:p>
        </w:tc>
      </w:tr>
      <w:tr>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SQ5</w:t>
            </w:r>
          </w:p>
        </w:tc>
        <w:tc>
          <w:tcPr>
            <w:tcW w:type="dxa" w:w="53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Highest level of education</w:t>
            </w:r>
          </w:p>
        </w:tc>
        <w:tc>
          <w:tcPr>
            <w:tcW w:type="dxa" w:w="26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1 = none … 8 = graduate degree or higher</w:t>
            </w:r>
          </w:p>
        </w:tc>
      </w:tr>
      <w:tr>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BQ10</w:t>
            </w:r>
          </w:p>
        </w:tc>
        <w:tc>
          <w:tcPr>
            <w:tcW w:type="dxa" w:w="53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Personal average monthly income (open, ×10,000 KRW)</w:t>
            </w:r>
          </w:p>
        </w:tc>
        <w:tc>
          <w:tcPr>
            <w:tcW w:type="dxa" w:w="26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Numeric</w:t>
            </w:r>
          </w:p>
        </w:tc>
      </w:tr>
      <w:tr>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Q39</w:t>
            </w:r>
          </w:p>
        </w:tc>
        <w:tc>
          <w:tcPr>
            <w:tcW w:type="dxa" w:w="53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Political ideology (self-placement)</w:t>
            </w:r>
          </w:p>
        </w:tc>
        <w:tc>
          <w:tcPr>
            <w:tcW w:type="dxa" w:w="26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1 = very conservative … 7 = very progressive</w:t>
            </w:r>
          </w:p>
        </w:tc>
      </w:tr>
    </w:tbl>
    <w:p>
      <w:pPr>
        <w:spacing w:after="160" w:before="60"/>
      </w:pPr>
      <w:r>
        <w:rPr>
          <w:rFonts w:ascii="Times New Roman" w:cs="Times New Roman" w:eastAsia="Times New Roman" w:hAnsi="Times New Roman"/>
          <w:i/>
          <w:iCs/>
          <w:sz w:val="20"/>
          <w:szCs w:val="20"/>
        </w:rPr>
        <w:t xml:space="preserve">Table S2. Screening, demographic, and background items.</w:t>
      </w:r>
    </w:p>
    <w:p>
      <w:pPr>
        <w:spacing w:after="100" w:before="220"/>
      </w:pPr>
      <w:r>
        <w:rPr>
          <w:rFonts w:ascii="Times New Roman" w:cs="Times New Roman" w:eastAsia="Times New Roman" w:hAnsi="Times New Roman"/>
          <w:b/>
          <w:bCs/>
          <w:sz w:val="25"/>
          <w:szCs w:val="25"/>
        </w:rPr>
        <w:t xml:space="preserve">3.2 Section A: Dependent Variable — Nuclear Power Plant Acceptance</w:t>
      </w:r>
    </w:p>
    <w:p>
      <w:pPr>
        <w:spacing w:after="140" w:line="320"/>
        <w:jc w:val="both"/>
      </w:pPr>
      <w:r>
        <w:rPr>
          <w:rFonts w:ascii="Times New Roman" w:cs="Times New Roman" w:eastAsia="Times New Roman" w:hAnsi="Times New Roman"/>
          <w:b/>
          <w:bCs/>
          <w:sz w:val="22"/>
          <w:szCs w:val="22"/>
        </w:rPr>
        <w:t xml:space="preserve">Construct. </w:t>
      </w:r>
      <w:r>
        <w:rPr>
          <w:rFonts w:ascii="Times New Roman" w:cs="Times New Roman" w:eastAsia="Times New Roman" w:hAnsi="Times New Roman"/>
          <w:sz w:val="22"/>
          <w:szCs w:val="22"/>
        </w:rPr>
        <w:t xml:space="preserve">Acceptance of nuclear power plants, measured with six items adapted from prior research on nuclear-energy attitudes. The items span general support for nuclear expansion, willingness to host facilities locally, and perceived safety of nearby facilities. Response scale: 1 = strongly disagree … 5 = strongly agree.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7960"/>
      </w:tblGrid>
      <w:tr>
        <w:tc>
          <w:tcPr>
            <w:tcW w:type="dxa" w:w="1400"/>
            <w:tcBorders>
              <w:top w:val="single" w:color="AAAAAA" w:sz="1"/>
              <w:left w:val="single" w:color="AAAAAA" w:sz="1"/>
              <w:bottom w:val="single" w:color="AAAAAA" w:sz="1"/>
              <w:right w:val="single" w:color="AAAAAA" w:sz="1"/>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0"/>
                <w:szCs w:val="20"/>
              </w:rPr>
              <w:t xml:space="preserve">Variable</w:t>
            </w:r>
          </w:p>
        </w:tc>
        <w:tc>
          <w:tcPr>
            <w:tcW w:type="dxa" w:w="7960"/>
            <w:tcBorders>
              <w:top w:val="single" w:color="AAAAAA" w:sz="1"/>
              <w:left w:val="single" w:color="AAAAAA" w:sz="1"/>
              <w:bottom w:val="single" w:color="AAAAAA" w:sz="1"/>
              <w:right w:val="single" w:color="AAAAAA" w:sz="1"/>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0"/>
                <w:szCs w:val="20"/>
              </w:rPr>
              <w:t xml:space="preserve">Item (English translation)</w:t>
            </w:r>
          </w:p>
        </w:tc>
      </w:tr>
      <w:tr>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Q23_5</w:t>
            </w:r>
          </w:p>
        </w:tc>
        <w:tc>
          <w:tcPr>
            <w:tcW w:type="dxa" w:w="79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I think we need to build more nuclear power plants.</w:t>
            </w:r>
          </w:p>
        </w:tc>
      </w:tr>
      <w:tr>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Q23_6</w:t>
            </w:r>
          </w:p>
        </w:tc>
        <w:tc>
          <w:tcPr>
            <w:tcW w:type="dxa" w:w="79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I am in favour of building more nuclear power plants.</w:t>
            </w:r>
          </w:p>
        </w:tc>
      </w:tr>
      <w:tr>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Q23_7</w:t>
            </w:r>
          </w:p>
        </w:tc>
        <w:tc>
          <w:tcPr>
            <w:tcW w:type="dxa" w:w="79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I am in favour of building a nuclear power plant in my region.</w:t>
            </w:r>
          </w:p>
        </w:tc>
      </w:tr>
      <w:tr>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Q23_8</w:t>
            </w:r>
          </w:p>
        </w:tc>
        <w:tc>
          <w:tcPr>
            <w:tcW w:type="dxa" w:w="79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I think it is safe to install a nuclear power plant in my region.</w:t>
            </w:r>
          </w:p>
        </w:tc>
      </w:tr>
      <w:tr>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Q23_9</w:t>
            </w:r>
          </w:p>
        </w:tc>
        <w:tc>
          <w:tcPr>
            <w:tcW w:type="dxa" w:w="79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I am in favour of a nuclear power plant being built near my home.</w:t>
            </w:r>
          </w:p>
        </w:tc>
      </w:tr>
      <w:tr>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Q23_10</w:t>
            </w:r>
          </w:p>
        </w:tc>
        <w:tc>
          <w:tcPr>
            <w:tcW w:type="dxa" w:w="79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I think it is safe to have a nuclear power plant built in front of my house.</w:t>
            </w:r>
          </w:p>
        </w:tc>
      </w:tr>
    </w:tbl>
    <w:p>
      <w:pPr>
        <w:spacing w:after="160" w:before="60"/>
      </w:pPr>
      <w:r>
        <w:rPr>
          <w:rFonts w:ascii="Times New Roman" w:cs="Times New Roman" w:eastAsia="Times New Roman" w:hAnsi="Times New Roman"/>
          <w:i/>
          <w:iCs/>
          <w:sz w:val="20"/>
          <w:szCs w:val="20"/>
        </w:rPr>
        <w:t xml:space="preserve">Table S3. Nuclear power plant acceptance items (dependent variable).</w:t>
      </w:r>
    </w:p>
    <w:p>
      <w:pPr>
        <w:spacing w:after="100" w:before="220"/>
      </w:pPr>
      <w:r>
        <w:rPr>
          <w:rFonts w:ascii="Times New Roman" w:cs="Times New Roman" w:eastAsia="Times New Roman" w:hAnsi="Times New Roman"/>
          <w:b/>
          <w:bCs/>
          <w:sz w:val="25"/>
          <w:szCs w:val="25"/>
        </w:rPr>
        <w:t xml:space="preserve">3.3 Section B: Risk-Perception and Trust Constructs</w:t>
      </w:r>
    </w:p>
    <w:p>
      <w:pPr>
        <w:spacing w:after="140" w:line="320"/>
        <w:jc w:val="both"/>
      </w:pPr>
      <w:r>
        <w:rPr>
          <w:rFonts w:ascii="Times New Roman" w:cs="Times New Roman" w:eastAsia="Times New Roman" w:hAnsi="Times New Roman"/>
          <w:sz w:val="22"/>
          <w:szCs w:val="22"/>
        </w:rPr>
        <w:t xml:space="preserve">These constructs operationalise the general risk-perception paradigm as applied to domestic nuclear power: perceived risk, institutional trust, and knowledge. All items used the 1–5 agreement scale.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6360"/>
        <w:gridCol w:w="1600"/>
      </w:tblGrid>
      <w:tr>
        <w:tc>
          <w:tcPr>
            <w:tcW w:type="dxa" w:w="1400"/>
            <w:tcBorders>
              <w:top w:val="single" w:color="AAAAAA" w:sz="1"/>
              <w:left w:val="single" w:color="AAAAAA" w:sz="1"/>
              <w:bottom w:val="single" w:color="AAAAAA" w:sz="1"/>
              <w:right w:val="single" w:color="AAAAAA" w:sz="1"/>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0"/>
                <w:szCs w:val="20"/>
              </w:rPr>
              <w:t xml:space="preserve">Variable</w:t>
            </w:r>
          </w:p>
        </w:tc>
        <w:tc>
          <w:tcPr>
            <w:tcW w:type="dxa" w:w="6360"/>
            <w:tcBorders>
              <w:top w:val="single" w:color="AAAAAA" w:sz="1"/>
              <w:left w:val="single" w:color="AAAAAA" w:sz="1"/>
              <w:bottom w:val="single" w:color="AAAAAA" w:sz="1"/>
              <w:right w:val="single" w:color="AAAAAA" w:sz="1"/>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0"/>
                <w:szCs w:val="20"/>
              </w:rPr>
              <w:t xml:space="preserve">Item (English translation)</w:t>
            </w:r>
          </w:p>
        </w:tc>
        <w:tc>
          <w:tcPr>
            <w:tcW w:type="dxa" w:w="1600"/>
            <w:tcBorders>
              <w:top w:val="single" w:color="AAAAAA" w:sz="1"/>
              <w:left w:val="single" w:color="AAAAAA" w:sz="1"/>
              <w:bottom w:val="single" w:color="AAAAAA" w:sz="1"/>
              <w:right w:val="single" w:color="AAAAAA" w:sz="1"/>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0"/>
                <w:szCs w:val="20"/>
              </w:rPr>
              <w:t xml:space="preserve">Construct</w:t>
            </w:r>
          </w:p>
        </w:tc>
      </w:tr>
      <w:tr>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Q24_4_53</w:t>
            </w:r>
          </w:p>
        </w:tc>
        <w:tc>
          <w:tcPr>
            <w:tcW w:type="dxa" w:w="63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Because of nuclear power, I personally feel my life is threatened.</w:t>
            </w:r>
          </w:p>
        </w:tc>
        <w:tc>
          <w:tcPr>
            <w:tcW w:type="dxa" w:w="16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Perceived risk (NPP)</w:t>
            </w:r>
          </w:p>
        </w:tc>
      </w:tr>
      <w:tr>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Q24_4_54</w:t>
            </w:r>
          </w:p>
        </w:tc>
        <w:tc>
          <w:tcPr>
            <w:tcW w:type="dxa" w:w="63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Nuclear power produces waste that is dangerous to my health.</w:t>
            </w:r>
          </w:p>
        </w:tc>
        <w:tc>
          <w:tcPr>
            <w:tcW w:type="dxa" w:w="16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Perceived risk (NPP)</w:t>
            </w:r>
          </w:p>
        </w:tc>
      </w:tr>
      <w:tr>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Q24_2_21</w:t>
            </w:r>
          </w:p>
        </w:tc>
        <w:tc>
          <w:tcPr>
            <w:tcW w:type="dxa" w:w="63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I can trust our country’s nuclear-power safety and management technology.</w:t>
            </w:r>
          </w:p>
        </w:tc>
        <w:tc>
          <w:tcPr>
            <w:tcW w:type="dxa" w:w="16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Trust (technology &amp; policy)</w:t>
            </w:r>
          </w:p>
        </w:tc>
      </w:tr>
      <w:tr>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Q24_2_22</w:t>
            </w:r>
          </w:p>
        </w:tc>
        <w:tc>
          <w:tcPr>
            <w:tcW w:type="dxa" w:w="63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The government has the capacity to operate nuclear power plants safely.</w:t>
            </w:r>
          </w:p>
        </w:tc>
        <w:tc>
          <w:tcPr>
            <w:tcW w:type="dxa" w:w="16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Trust (technology &amp; policy)</w:t>
            </w:r>
          </w:p>
        </w:tc>
      </w:tr>
      <w:tr>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Q24_4_57</w:t>
            </w:r>
          </w:p>
        </w:tc>
        <w:tc>
          <w:tcPr>
            <w:tcW w:type="dxa" w:w="63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I am aware of the organisations that regulate nuclear safety in our country.</w:t>
            </w:r>
          </w:p>
        </w:tc>
        <w:tc>
          <w:tcPr>
            <w:tcW w:type="dxa" w:w="16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Knowledge (organisation &amp; policy)</w:t>
            </w:r>
          </w:p>
        </w:tc>
      </w:tr>
      <w:tr>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Q24_4_58</w:t>
            </w:r>
          </w:p>
        </w:tc>
        <w:tc>
          <w:tcPr>
            <w:tcW w:type="dxa" w:w="63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I am well aware of the government’s efforts to establish a nuclear-safety culture.</w:t>
            </w:r>
          </w:p>
        </w:tc>
        <w:tc>
          <w:tcPr>
            <w:tcW w:type="dxa" w:w="16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Knowledge (organisation &amp; policy)</w:t>
            </w:r>
          </w:p>
        </w:tc>
      </w:tr>
    </w:tbl>
    <w:p>
      <w:pPr>
        <w:spacing w:after="160" w:before="60"/>
      </w:pPr>
      <w:r>
        <w:rPr>
          <w:rFonts w:ascii="Times New Roman" w:cs="Times New Roman" w:eastAsia="Times New Roman" w:hAnsi="Times New Roman"/>
          <w:i/>
          <w:iCs/>
          <w:sz w:val="20"/>
          <w:szCs w:val="20"/>
        </w:rPr>
        <w:t xml:space="preserve">Table S4. Risk-perception, trust, and knowledge items for domestic nuclear power.</w:t>
      </w:r>
    </w:p>
    <w:p>
      <w:pPr>
        <w:spacing w:after="100" w:before="220"/>
      </w:pPr>
      <w:r>
        <w:rPr>
          <w:rFonts w:ascii="Times New Roman" w:cs="Times New Roman" w:eastAsia="Times New Roman" w:hAnsi="Times New Roman"/>
          <w:b/>
          <w:bCs/>
          <w:sz w:val="25"/>
          <w:szCs w:val="25"/>
        </w:rPr>
        <w:t xml:space="preserve">3.4 Section C: Fukushima Treated Radioactive Water (FTRW) Constructs</w:t>
      </w:r>
    </w:p>
    <w:p>
      <w:pPr>
        <w:spacing w:after="140" w:line="320"/>
        <w:jc w:val="both"/>
      </w:pPr>
      <w:r>
        <w:rPr>
          <w:rFonts w:ascii="Times New Roman" w:cs="Times New Roman" w:eastAsia="Times New Roman" w:hAnsi="Times New Roman"/>
          <w:sz w:val="22"/>
          <w:szCs w:val="22"/>
        </w:rPr>
        <w:t xml:space="preserve">These constructs capture attitudes specific to the Fukushima accident and the treated-water discharge: perceived risk of the accident, trust in FTRW-related organisations, and knowledge about the discharge. All items used the 1–5 agreement scale.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6360"/>
        <w:gridCol w:w="1600"/>
      </w:tblGrid>
      <w:tr>
        <w:tc>
          <w:tcPr>
            <w:tcW w:type="dxa" w:w="1400"/>
            <w:tcBorders>
              <w:top w:val="single" w:color="AAAAAA" w:sz="1"/>
              <w:left w:val="single" w:color="AAAAAA" w:sz="1"/>
              <w:bottom w:val="single" w:color="AAAAAA" w:sz="1"/>
              <w:right w:val="single" w:color="AAAAAA" w:sz="1"/>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0"/>
                <w:szCs w:val="20"/>
              </w:rPr>
              <w:t xml:space="preserve">Variable</w:t>
            </w:r>
          </w:p>
        </w:tc>
        <w:tc>
          <w:tcPr>
            <w:tcW w:type="dxa" w:w="6360"/>
            <w:tcBorders>
              <w:top w:val="single" w:color="AAAAAA" w:sz="1"/>
              <w:left w:val="single" w:color="AAAAAA" w:sz="1"/>
              <w:bottom w:val="single" w:color="AAAAAA" w:sz="1"/>
              <w:right w:val="single" w:color="AAAAAA" w:sz="1"/>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0"/>
                <w:szCs w:val="20"/>
              </w:rPr>
              <w:t xml:space="preserve">Item (English translation)</w:t>
            </w:r>
          </w:p>
        </w:tc>
        <w:tc>
          <w:tcPr>
            <w:tcW w:type="dxa" w:w="1600"/>
            <w:tcBorders>
              <w:top w:val="single" w:color="AAAAAA" w:sz="1"/>
              <w:left w:val="single" w:color="AAAAAA" w:sz="1"/>
              <w:bottom w:val="single" w:color="AAAAAA" w:sz="1"/>
              <w:right w:val="single" w:color="AAAAAA" w:sz="1"/>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0"/>
                <w:szCs w:val="20"/>
              </w:rPr>
              <w:t xml:space="preserve">Construct</w:t>
            </w:r>
          </w:p>
        </w:tc>
      </w:tr>
      <w:tr>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Q24_5_71</w:t>
            </w:r>
          </w:p>
        </w:tc>
        <w:tc>
          <w:tcPr>
            <w:tcW w:type="dxa" w:w="63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The Fukushima accident is an extremely serious problem, incomparable to any other accident.</w:t>
            </w:r>
          </w:p>
        </w:tc>
        <w:tc>
          <w:tcPr>
            <w:tcW w:type="dxa" w:w="16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Perceived risk (Fukushima)</w:t>
            </w:r>
          </w:p>
        </w:tc>
      </w:tr>
      <w:tr>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Q24_5_72</w:t>
            </w:r>
          </w:p>
        </w:tc>
        <w:tc>
          <w:tcPr>
            <w:tcW w:type="dxa" w:w="63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The Fukushima accident is a very serious problem when Korea’s situation is considered.</w:t>
            </w:r>
          </w:p>
        </w:tc>
        <w:tc>
          <w:tcPr>
            <w:tcW w:type="dxa" w:w="16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Perceived risk (Fukushima)</w:t>
            </w:r>
          </w:p>
        </w:tc>
      </w:tr>
      <w:tr>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Q24_6_81</w:t>
            </w:r>
          </w:p>
        </w:tc>
        <w:tc>
          <w:tcPr>
            <w:tcW w:type="dxa" w:w="63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I trust the IAEA’s position and announcements regarding Japan’s discharge of treated water.</w:t>
            </w:r>
          </w:p>
        </w:tc>
        <w:tc>
          <w:tcPr>
            <w:tcW w:type="dxa" w:w="16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Trust (FTRW organisations)</w:t>
            </w:r>
          </w:p>
        </w:tc>
      </w:tr>
      <w:tr>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Q24_6_82</w:t>
            </w:r>
          </w:p>
        </w:tc>
        <w:tc>
          <w:tcPr>
            <w:tcW w:type="dxa" w:w="63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I trust the results of our country’s inspection team’s visit to Fukushima.</w:t>
            </w:r>
          </w:p>
        </w:tc>
        <w:tc>
          <w:tcPr>
            <w:tcW w:type="dxa" w:w="16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Trust (FTRW organisations)</w:t>
            </w:r>
          </w:p>
        </w:tc>
      </w:tr>
      <w:tr>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Q24_6_83</w:t>
            </w:r>
          </w:p>
        </w:tc>
        <w:tc>
          <w:tcPr>
            <w:tcW w:type="dxa" w:w="63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I know to some extent about the process and treatment method used for the discharge.</w:t>
            </w:r>
          </w:p>
        </w:tc>
        <w:tc>
          <w:tcPr>
            <w:tcW w:type="dxa" w:w="16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Knowledge (FTRW)</w:t>
            </w:r>
          </w:p>
        </w:tc>
      </w:tr>
      <w:tr>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Q24_6_84</w:t>
            </w:r>
          </w:p>
        </w:tc>
        <w:tc>
          <w:tcPr>
            <w:tcW w:type="dxa" w:w="63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I am fairly well informed about the Fukushima treated-water discharge.</w:t>
            </w:r>
          </w:p>
        </w:tc>
        <w:tc>
          <w:tcPr>
            <w:tcW w:type="dxa" w:w="16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Knowledge (FTRW)</w:t>
            </w:r>
          </w:p>
        </w:tc>
      </w:tr>
    </w:tbl>
    <w:p>
      <w:pPr>
        <w:spacing w:after="160" w:before="60"/>
      </w:pPr>
      <w:r>
        <w:rPr>
          <w:rFonts w:ascii="Times New Roman" w:cs="Times New Roman" w:eastAsia="Times New Roman" w:hAnsi="Times New Roman"/>
          <w:i/>
          <w:iCs/>
          <w:sz w:val="20"/>
          <w:szCs w:val="20"/>
        </w:rPr>
        <w:t xml:space="preserve">Table S5. FTRW-specific risk, trust, and knowledge items.</w:t>
      </w:r>
    </w:p>
    <w:p>
      <w:pPr>
        <w:spacing w:after="100" w:before="220"/>
      </w:pPr>
      <w:r>
        <w:rPr>
          <w:rFonts w:ascii="Times New Roman" w:cs="Times New Roman" w:eastAsia="Times New Roman" w:hAnsi="Times New Roman"/>
          <w:b/>
          <w:bCs/>
          <w:sz w:val="25"/>
          <w:szCs w:val="25"/>
        </w:rPr>
        <w:t xml:space="preserve">3.5 Section D: Confidence in Fake News</w:t>
      </w:r>
    </w:p>
    <w:p>
      <w:pPr>
        <w:spacing w:after="140" w:line="320"/>
        <w:jc w:val="both"/>
      </w:pPr>
      <w:r>
        <w:rPr>
          <w:rFonts w:ascii="Times New Roman" w:cs="Times New Roman" w:eastAsia="Times New Roman" w:hAnsi="Times New Roman"/>
          <w:b/>
          <w:bCs/>
          <w:sz w:val="22"/>
          <w:szCs w:val="22"/>
        </w:rPr>
        <w:t xml:space="preserve">Construct. </w:t>
      </w:r>
      <w:r>
        <w:rPr>
          <w:rFonts w:ascii="Times New Roman" w:cs="Times New Roman" w:eastAsia="Times New Roman" w:hAnsi="Times New Roman"/>
          <w:sz w:val="22"/>
          <w:szCs w:val="22"/>
        </w:rPr>
        <w:t xml:space="preserve">A purpose-built eight-item scale measuring confidence in claims about the FTRW discharge that had circulated widely on Korean social media and news platforms. Four statements were factually false and four were factually accurate. Respondents were asked to judge how true or false each statement was; if they did not know, they could answer “Don’t know.”</w:t>
      </w:r>
    </w:p>
    <w:p>
      <w:pPr>
        <w:spacing w:after="140" w:line="320"/>
        <w:jc w:val="both"/>
      </w:pPr>
      <w:r>
        <w:rPr>
          <w:rFonts w:ascii="Times New Roman" w:cs="Times New Roman" w:eastAsia="Times New Roman" w:hAnsi="Times New Roman"/>
          <w:b/>
          <w:bCs/>
          <w:sz w:val="22"/>
          <w:szCs w:val="22"/>
        </w:rPr>
        <w:t xml:space="preserve">Response scale. </w:t>
      </w:r>
      <w:r>
        <w:rPr>
          <w:rFonts w:ascii="Times New Roman" w:cs="Times New Roman" w:eastAsia="Times New Roman" w:hAnsi="Times New Roman"/>
          <w:sz w:val="22"/>
          <w:szCs w:val="22"/>
        </w:rPr>
        <w:t xml:space="preserve">1 = Don’t know; 2 = Definitely false; 3 = Probably false; 4 = Probably true; 5 = Definitely true. (Fact status was not shown to respondents.)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6660"/>
        <w:gridCol w:w="1600"/>
      </w:tblGrid>
      <w:tr>
        <w:tc>
          <w:tcPr>
            <w:tcW w:type="dxa" w:w="1100"/>
            <w:tcBorders>
              <w:top w:val="single" w:color="AAAAAA" w:sz="1"/>
              <w:left w:val="single" w:color="AAAAAA" w:sz="1"/>
              <w:bottom w:val="single" w:color="AAAAAA" w:sz="1"/>
              <w:right w:val="single" w:color="AAAAAA" w:sz="1"/>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0"/>
                <w:szCs w:val="20"/>
              </w:rPr>
              <w:t xml:space="preserve">Variable</w:t>
            </w:r>
          </w:p>
        </w:tc>
        <w:tc>
          <w:tcPr>
            <w:tcW w:type="dxa" w:w="6660"/>
            <w:tcBorders>
              <w:top w:val="single" w:color="AAAAAA" w:sz="1"/>
              <w:left w:val="single" w:color="AAAAAA" w:sz="1"/>
              <w:bottom w:val="single" w:color="AAAAAA" w:sz="1"/>
              <w:right w:val="single" w:color="AAAAAA" w:sz="1"/>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0"/>
                <w:szCs w:val="20"/>
              </w:rPr>
              <w:t xml:space="preserve">Statement (English translation)</w:t>
            </w:r>
          </w:p>
        </w:tc>
        <w:tc>
          <w:tcPr>
            <w:tcW w:type="dxa" w:w="1600"/>
            <w:tcBorders>
              <w:top w:val="single" w:color="AAAAAA" w:sz="1"/>
              <w:left w:val="single" w:color="AAAAAA" w:sz="1"/>
              <w:bottom w:val="single" w:color="AAAAAA" w:sz="1"/>
              <w:right w:val="single" w:color="AAAAAA" w:sz="1"/>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0"/>
                <w:szCs w:val="20"/>
              </w:rPr>
              <w:t xml:space="preserve">Fact status</w:t>
            </w:r>
          </w:p>
        </w:tc>
      </w:tr>
      <w:tr>
        <w:tc>
          <w:tcPr>
            <w:tcW w:type="dxa" w:w="11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Q30_1</w:t>
            </w:r>
          </w:p>
        </w:tc>
        <w:tc>
          <w:tcPr>
            <w:tcW w:type="dxa" w:w="66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The discharged contaminated water is full of radioactive material.</w:t>
            </w:r>
          </w:p>
        </w:tc>
        <w:tc>
          <w:tcPr>
            <w:tcW w:type="dxa" w:w="16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False</w:t>
            </w:r>
          </w:p>
        </w:tc>
      </w:tr>
      <w:tr>
        <w:tc>
          <w:tcPr>
            <w:tcW w:type="dxa" w:w="11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Q30_2</w:t>
            </w:r>
          </w:p>
        </w:tc>
        <w:tc>
          <w:tcPr>
            <w:tcW w:type="dxa" w:w="66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The discharged contaminated water will hit our seas in three months.</w:t>
            </w:r>
          </w:p>
        </w:tc>
        <w:tc>
          <w:tcPr>
            <w:tcW w:type="dxa" w:w="16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False</w:t>
            </w:r>
          </w:p>
        </w:tc>
      </w:tr>
      <w:tr>
        <w:tc>
          <w:tcPr>
            <w:tcW w:type="dxa" w:w="11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Q30_3</w:t>
            </w:r>
          </w:p>
        </w:tc>
        <w:tc>
          <w:tcPr>
            <w:tcW w:type="dxa" w:w="66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After the discharge, seafood from Fukushima will be imported.</w:t>
            </w:r>
          </w:p>
        </w:tc>
        <w:tc>
          <w:tcPr>
            <w:tcW w:type="dxa" w:w="16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False</w:t>
            </w:r>
          </w:p>
        </w:tc>
      </w:tr>
      <w:tr>
        <w:tc>
          <w:tcPr>
            <w:tcW w:type="dxa" w:w="11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Q30_4</w:t>
            </w:r>
          </w:p>
        </w:tc>
        <w:tc>
          <w:tcPr>
            <w:tcW w:type="dxa" w:w="66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Some seafood from the Fukushima area is already being imported on a limited basis after safety inspections.</w:t>
            </w:r>
          </w:p>
        </w:tc>
        <w:tc>
          <w:tcPr>
            <w:tcW w:type="dxa" w:w="16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True</w:t>
            </w:r>
          </w:p>
        </w:tc>
      </w:tr>
      <w:tr>
        <w:tc>
          <w:tcPr>
            <w:tcW w:type="dxa" w:w="11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Q30_5</w:t>
            </w:r>
          </w:p>
        </w:tc>
        <w:tc>
          <w:tcPr>
            <w:tcW w:type="dxa" w:w="66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Rockfish living near Fukushima could swim all the way to our seas.</w:t>
            </w:r>
          </w:p>
        </w:tc>
        <w:tc>
          <w:tcPr>
            <w:tcW w:type="dxa" w:w="16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False</w:t>
            </w:r>
          </w:p>
        </w:tc>
      </w:tr>
      <w:tr>
        <w:tc>
          <w:tcPr>
            <w:tcW w:type="dxa" w:w="11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Q30_6</w:t>
            </w:r>
          </w:p>
        </w:tc>
        <w:tc>
          <w:tcPr>
            <w:tcW w:type="dxa" w:w="66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Diluting tritium and discharging it into the sea is a common international treatment method.</w:t>
            </w:r>
          </w:p>
        </w:tc>
        <w:tc>
          <w:tcPr>
            <w:tcW w:type="dxa" w:w="16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True</w:t>
            </w:r>
          </w:p>
        </w:tc>
      </w:tr>
      <w:tr>
        <w:tc>
          <w:tcPr>
            <w:tcW w:type="dxa" w:w="11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Q30_7</w:t>
            </w:r>
          </w:p>
        </w:tc>
        <w:tc>
          <w:tcPr>
            <w:tcW w:type="dxa" w:w="66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Japanese nationals participated in the IAEA team that attempted to verify the discharged water.</w:t>
            </w:r>
          </w:p>
        </w:tc>
        <w:tc>
          <w:tcPr>
            <w:tcW w:type="dxa" w:w="16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False</w:t>
            </w:r>
          </w:p>
        </w:tc>
      </w:tr>
      <w:tr>
        <w:tc>
          <w:tcPr>
            <w:tcW w:type="dxa" w:w="11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Q30_8</w:t>
            </w:r>
          </w:p>
        </w:tc>
        <w:tc>
          <w:tcPr>
            <w:tcW w:type="dxa" w:w="66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When Japan discharges the contaminated water, our country’s salt becomes contaminated.</w:t>
            </w:r>
          </w:p>
        </w:tc>
        <w:tc>
          <w:tcPr>
            <w:tcW w:type="dxa" w:w="16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False</w:t>
            </w:r>
          </w:p>
        </w:tc>
      </w:tr>
    </w:tbl>
    <w:p>
      <w:pPr>
        <w:spacing w:after="160" w:before="60"/>
      </w:pPr>
      <w:r>
        <w:rPr>
          <w:rFonts w:ascii="Times New Roman" w:cs="Times New Roman" w:eastAsia="Times New Roman" w:hAnsi="Times New Roman"/>
          <w:i/>
          <w:iCs/>
          <w:sz w:val="20"/>
          <w:szCs w:val="20"/>
        </w:rPr>
        <w:t xml:space="preserve">Table S6. Confidence-in-fake-news items, with fact status.</w:t>
      </w:r>
    </w:p>
    <w:p>
      <w:pPr>
        <w:spacing w:after="140" w:line="320"/>
        <w:jc w:val="both"/>
      </w:pPr>
      <w:r>
        <w:rPr>
          <w:rFonts w:ascii="Times New Roman" w:cs="Times New Roman" w:eastAsia="Times New Roman" w:hAnsi="Times New Roman"/>
          <w:sz w:val="22"/>
          <w:szCs w:val="22"/>
        </w:rPr>
        <w:t xml:space="preserve">Coding (see also Section 7 and Appendix B): for the four false items, higher confidence in their truth indicates higher confidence in fake news. The four accurate items were reverse-coded so that disbelief in accurate statements likewise contributes to a higher fake-news score. “Don’t know” responses were treated as missing for the confidence index. The composite was the mean of the recoded items.</w:t>
      </w:r>
    </w:p>
    <w:p>
      <w:pPr>
        <w:pStyle w:val="Heading1"/>
        <w:spacing w:after="140" w:before="320"/>
      </w:pPr>
      <w:r>
        <w:rPr>
          <w:rFonts w:ascii="Times New Roman" w:cs="Times New Roman" w:eastAsia="Times New Roman" w:hAnsi="Times New Roman"/>
          <w:b/>
          <w:bCs/>
          <w:sz w:val="28"/>
          <w:szCs w:val="28"/>
        </w:rPr>
        <w:t xml:space="preserve">4. Control Variables and Background Items</w:t>
      </w:r>
    </w:p>
    <w:p>
      <w:pPr>
        <w:spacing w:after="140" w:line="320"/>
        <w:jc w:val="both"/>
      </w:pPr>
      <w:r>
        <w:rPr>
          <w:rFonts w:ascii="Times New Roman" w:cs="Times New Roman" w:eastAsia="Times New Roman" w:hAnsi="Times New Roman"/>
          <w:sz w:val="22"/>
          <w:szCs w:val="22"/>
        </w:rPr>
        <w:t xml:space="preserve">The analytic models included five controls: sex (SQ1), age (SQ2), education (SQ5), income (BQ10), and political ideology (Q39). The exact recodings used to construct the analytic variables are documented in Section 7 (Variable Coding and Data Dictionary).</w:t>
      </w:r>
    </w:p>
    <w:p>
      <w:pPr>
        <w:spacing w:after="140" w:line="320"/>
        <w:jc w:val="both"/>
      </w:pPr>
      <w:r>
        <w:rPr>
          <w:rFonts w:ascii="Times New Roman" w:cs="Times New Roman" w:eastAsia="Times New Roman" w:hAnsi="Times New Roman"/>
          <w:b/>
          <w:bCs/>
          <w:i/>
          <w:iCs/>
          <w:sz w:val="21"/>
          <w:szCs w:val="21"/>
        </w:rPr>
        <w:t xml:space="preserve">Note on the ideology measure. </w:t>
      </w:r>
      <w:r>
        <w:rPr>
          <w:rFonts w:ascii="Times New Roman" w:cs="Times New Roman" w:eastAsia="Times New Roman" w:hAnsi="Times New Roman"/>
          <w:i/>
          <w:iCs/>
          <w:sz w:val="21"/>
          <w:szCs w:val="21"/>
        </w:rPr>
        <w:t xml:space="preserve">The fielded instrument used a seven-point self-placement scale (1 = very conservative … 7 = very progressive). The companion manuscript describes this control as a measure of progressivism, with higher values indicating more progressive orientations. Researchers seeking to reproduce the models should use the seven-point variable as fielded.</w:t>
      </w:r>
    </w:p>
    <w:p>
      <w:pPr>
        <w:pStyle w:val="Heading1"/>
        <w:spacing w:after="140" w:before="320"/>
      </w:pPr>
      <w:r>
        <w:rPr>
          <w:rFonts w:ascii="Times New Roman" w:cs="Times New Roman" w:eastAsia="Times New Roman" w:hAnsi="Times New Roman"/>
          <w:b/>
          <w:bCs/>
          <w:sz w:val="28"/>
          <w:szCs w:val="28"/>
        </w:rPr>
        <w:t xml:space="preserve">5. Data-Collection Procedures</w:t>
      </w:r>
    </w:p>
    <w:p>
      <w:pPr>
        <w:spacing w:after="100" w:before="220"/>
      </w:pPr>
      <w:r>
        <w:rPr>
          <w:rFonts w:ascii="Times New Roman" w:cs="Times New Roman" w:eastAsia="Times New Roman" w:hAnsi="Times New Roman"/>
          <w:b/>
          <w:bCs/>
          <w:sz w:val="25"/>
          <w:szCs w:val="25"/>
        </w:rPr>
        <w:t xml:space="preserve">5.1 Survey Administration</w:t>
      </w:r>
    </w:p>
    <w:p>
      <w:pPr>
        <w:spacing w:after="140" w:line="320"/>
        <w:jc w:val="both"/>
      </w:pPr>
      <w:r>
        <w:rPr>
          <w:rFonts w:ascii="Times New Roman" w:cs="Times New Roman" w:eastAsia="Times New Roman" w:hAnsi="Times New Roman"/>
          <w:sz w:val="22"/>
          <w:szCs w:val="22"/>
        </w:rPr>
        <w:t xml:space="preserve">The questionnaire was programmed as a computer-assisted web interview and distributed to panel members who matched the regional, sex, and age quotas. On entry, respondents were shown an invitation and informed-consent screen describing the study’s academic and policy purpose, the confidentiality of responses, and the voluntary nature of participation. Multi-item batteries were presented in matrix (grid) format, with a fixed number of statements per screen, and the dedicated fake-news module (Q30) used a step-by-step presentation so that each statement was judged individually.</w:t>
      </w:r>
    </w:p>
    <w:p>
      <w:pPr>
        <w:spacing w:after="100" w:before="220"/>
      </w:pPr>
      <w:r>
        <w:rPr>
          <w:rFonts w:ascii="Times New Roman" w:cs="Times New Roman" w:eastAsia="Times New Roman" w:hAnsi="Times New Roman"/>
          <w:b/>
          <w:bCs/>
          <w:sz w:val="25"/>
          <w:szCs w:val="25"/>
        </w:rPr>
        <w:t xml:space="preserve">5.2 Quality-Control Measures</w:t>
      </w:r>
    </w:p>
    <w:p>
      <w:pPr>
        <w:spacing w:after="80" w:line="300"/>
        <w:ind w:left="520" w:hanging="260"/>
      </w:pPr>
      <w:r>
        <w:rPr>
          <w:rFonts w:ascii="Times New Roman" w:cs="Times New Roman" w:eastAsia="Times New Roman" w:hAnsi="Times New Roman"/>
          <w:sz w:val="22"/>
          <w:szCs w:val="22"/>
        </w:rPr>
        <w:t xml:space="preserve">•  </w:t>
      </w:r>
      <w:r>
        <w:rPr>
          <w:rFonts w:ascii="Times New Roman" w:cs="Times New Roman" w:eastAsia="Times New Roman" w:hAnsi="Times New Roman"/>
          <w:sz w:val="22"/>
          <w:szCs w:val="22"/>
        </w:rPr>
        <w:t xml:space="preserve">Quota enforcement: real-time monitoring of regional, sex, and age quotas to maintain demographic representativeness against population targets.</w:t>
      </w:r>
    </w:p>
    <w:p>
      <w:pPr>
        <w:spacing w:after="80" w:line="300"/>
        <w:ind w:left="520" w:hanging="260"/>
      </w:pPr>
      <w:r>
        <w:rPr>
          <w:rFonts w:ascii="Times New Roman" w:cs="Times New Roman" w:eastAsia="Times New Roman" w:hAnsi="Times New Roman"/>
          <w:sz w:val="22"/>
          <w:szCs w:val="22"/>
        </w:rPr>
        <w:t xml:space="preserve">•  </w:t>
      </w:r>
      <w:r>
        <w:rPr>
          <w:rFonts w:ascii="Times New Roman" w:cs="Times New Roman" w:eastAsia="Times New Roman" w:hAnsi="Times New Roman"/>
          <w:sz w:val="22"/>
          <w:szCs w:val="22"/>
        </w:rPr>
        <w:t xml:space="preserve">Eligibility screening: respondents under 18 were screened out at SQ2 before the main questionnaire.</w:t>
      </w:r>
    </w:p>
    <w:p>
      <w:pPr>
        <w:spacing w:after="80" w:line="300"/>
        <w:ind w:left="520" w:hanging="260"/>
      </w:pPr>
      <w:r>
        <w:rPr>
          <w:rFonts w:ascii="Times New Roman" w:cs="Times New Roman" w:eastAsia="Times New Roman" w:hAnsi="Times New Roman"/>
          <w:sz w:val="22"/>
          <w:szCs w:val="22"/>
        </w:rPr>
        <w:t xml:space="preserve">•  </w:t>
      </w:r>
      <w:r>
        <w:rPr>
          <w:rFonts w:ascii="Times New Roman" w:cs="Times New Roman" w:eastAsia="Times New Roman" w:hAnsi="Times New Roman"/>
          <w:sz w:val="22"/>
          <w:szCs w:val="22"/>
        </w:rPr>
        <w:t xml:space="preserve">Logic and range checks: open numeric items (e.g., age, residence duration, income) were constrained by programmed range limits to prevent out-of-range entries.</w:t>
      </w:r>
    </w:p>
    <w:p>
      <w:pPr>
        <w:spacing w:after="80" w:line="300"/>
        <w:ind w:left="520" w:hanging="260"/>
      </w:pPr>
      <w:r>
        <w:rPr>
          <w:rFonts w:ascii="Times New Roman" w:cs="Times New Roman" w:eastAsia="Times New Roman" w:hAnsi="Times New Roman"/>
          <w:sz w:val="22"/>
          <w:szCs w:val="22"/>
        </w:rPr>
        <w:t xml:space="preserve">•  </w:t>
      </w:r>
      <w:r>
        <w:rPr>
          <w:rFonts w:ascii="Times New Roman" w:cs="Times New Roman" w:eastAsia="Times New Roman" w:hAnsi="Times New Roman"/>
          <w:sz w:val="22"/>
          <w:szCs w:val="22"/>
        </w:rPr>
        <w:t xml:space="preserve">Panel safeguards: administration through an established professional panel with standard duplicate-prevention and identity-verification procedures.</w:t>
      </w:r>
    </w:p>
    <w:p>
      <w:pPr>
        <w:spacing w:after="80" w:line="300"/>
        <w:ind w:left="520" w:hanging="260"/>
      </w:pPr>
      <w:r>
        <w:rPr>
          <w:rFonts w:ascii="Times New Roman" w:cs="Times New Roman" w:eastAsia="Times New Roman" w:hAnsi="Times New Roman"/>
          <w:sz w:val="22"/>
          <w:szCs w:val="22"/>
        </w:rPr>
        <w:t xml:space="preserve">•  </w:t>
      </w:r>
      <w:r>
        <w:rPr>
          <w:rFonts w:ascii="Times New Roman" w:cs="Times New Roman" w:eastAsia="Times New Roman" w:hAnsi="Times New Roman"/>
          <w:sz w:val="22"/>
          <w:szCs w:val="22"/>
        </w:rPr>
        <w:t xml:space="preserve">“Don’t know” option: the fake-news module explicitly offered a “Don’t know” response so that uncertainty was recorded rather than forced into a substantive answer.</w:t>
      </w:r>
    </w:p>
    <w:p>
      <w:pPr>
        <w:spacing w:after="100" w:before="220"/>
      </w:pPr>
      <w:r>
        <w:rPr>
          <w:rFonts w:ascii="Times New Roman" w:cs="Times New Roman" w:eastAsia="Times New Roman" w:hAnsi="Times New Roman"/>
          <w:b/>
          <w:bCs/>
          <w:sz w:val="25"/>
          <w:szCs w:val="25"/>
        </w:rPr>
        <w:t xml:space="preserve">5.3 Data Processing and Cleaning</w:t>
      </w:r>
    </w:p>
    <w:p>
      <w:pPr>
        <w:spacing w:after="140" w:line="320"/>
        <w:jc w:val="both"/>
      </w:pPr>
      <w:r>
        <w:rPr>
          <w:rFonts w:ascii="Times New Roman" w:cs="Times New Roman" w:eastAsia="Times New Roman" w:hAnsi="Times New Roman"/>
          <w:sz w:val="22"/>
          <w:szCs w:val="22"/>
        </w:rPr>
        <w:t xml:space="preserve">The delivered dataset contained 1,898 complete cases. For the analytic models, missing data were minimal (under 2% for any analysed variable) and were handled by listwise deletion. Composite scores for each multi-item construct were computed as the mean of the constituent items. Multicollinearity was assessed using variance inflation factors, all of which were below 3.0. The analysis was conducted in SPSS; the annotated syntax used to construct variables and estimate the models is available from the authors and is summarised in Sections 7 and Appendix B.</w:t>
      </w:r>
    </w:p>
    <w:p>
      <w:pPr>
        <w:pStyle w:val="Heading1"/>
        <w:spacing w:after="140" w:before="320"/>
      </w:pPr>
      <w:r>
        <w:rPr>
          <w:rFonts w:ascii="Times New Roman" w:cs="Times New Roman" w:eastAsia="Times New Roman" w:hAnsi="Times New Roman"/>
          <w:b/>
          <w:bCs/>
          <w:sz w:val="28"/>
          <w:szCs w:val="28"/>
        </w:rPr>
        <w:t xml:space="preserve">6. Ethical Considerations</w:t>
      </w:r>
    </w:p>
    <w:p>
      <w:pPr>
        <w:spacing w:after="140" w:line="320"/>
        <w:jc w:val="both"/>
      </w:pPr>
      <w:r>
        <w:rPr>
          <w:rFonts w:ascii="Times New Roman" w:cs="Times New Roman" w:eastAsia="Times New Roman" w:hAnsi="Times New Roman"/>
          <w:sz w:val="22"/>
          <w:szCs w:val="22"/>
        </w:rPr>
        <w:t xml:space="preserve">The survey was conducted in accordance with applicable research-ethics standards for low-risk, anonymous social-survey research. Participation was voluntary; respondents provided informed consent on the introductory screen before proceeding and could discontinue at any time. No personally identifying information is contained in the analytic dataset, and all responses were processed and reported in aggregate statistical form only. Respondents received the standard panel incentive administered by the fielding organisation. The survey posed minimal risk to participants and involved no deception beyond withholding the fact-status labels in the knowledge/fake-news module, which were not disclosed to avoid biasing responses.</w:t>
      </w:r>
    </w:p>
    <w:p>
      <w:pPr>
        <w:pStyle w:val="Heading1"/>
        <w:spacing w:after="140" w:before="320"/>
      </w:pPr>
      <w:r>
        <w:rPr>
          <w:rFonts w:ascii="Times New Roman" w:cs="Times New Roman" w:eastAsia="Times New Roman" w:hAnsi="Times New Roman"/>
          <w:b/>
          <w:bCs/>
          <w:sz w:val="28"/>
          <w:szCs w:val="28"/>
        </w:rPr>
        <w:t xml:space="preserve">7. Variable Coding and Data Dictionary</w:t>
      </w:r>
    </w:p>
    <w:p>
      <w:pPr>
        <w:spacing w:after="140" w:line="320"/>
        <w:jc w:val="both"/>
      </w:pPr>
      <w:r>
        <w:rPr>
          <w:rFonts w:ascii="Times New Roman" w:cs="Times New Roman" w:eastAsia="Times New Roman" w:hAnsi="Times New Roman"/>
          <w:sz w:val="22"/>
          <w:szCs w:val="22"/>
        </w:rPr>
        <w:t xml:space="preserve">Table S7 documents the analytic variables, their source items, and the transformations applied. Construct composites were computed as item means after any recoding.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00"/>
        <w:gridCol w:w="2300"/>
        <w:gridCol w:w="4760"/>
      </w:tblGrid>
      <w:tr>
        <w:tc>
          <w:tcPr>
            <w:tcW w:type="dxa" w:w="2300"/>
            <w:tcBorders>
              <w:top w:val="single" w:color="AAAAAA" w:sz="1"/>
              <w:left w:val="single" w:color="AAAAAA" w:sz="1"/>
              <w:bottom w:val="single" w:color="AAAAAA" w:sz="1"/>
              <w:right w:val="single" w:color="AAAAAA" w:sz="1"/>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0"/>
                <w:szCs w:val="20"/>
              </w:rPr>
              <w:t xml:space="preserve">Analytic variable</w:t>
            </w:r>
          </w:p>
        </w:tc>
        <w:tc>
          <w:tcPr>
            <w:tcW w:type="dxa" w:w="2300"/>
            <w:tcBorders>
              <w:top w:val="single" w:color="AAAAAA" w:sz="1"/>
              <w:left w:val="single" w:color="AAAAAA" w:sz="1"/>
              <w:bottom w:val="single" w:color="AAAAAA" w:sz="1"/>
              <w:right w:val="single" w:color="AAAAAA" w:sz="1"/>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0"/>
                <w:szCs w:val="20"/>
              </w:rPr>
              <w:t xml:space="preserve">Source item(s)</w:t>
            </w:r>
          </w:p>
        </w:tc>
        <w:tc>
          <w:tcPr>
            <w:tcW w:type="dxa" w:w="4760"/>
            <w:tcBorders>
              <w:top w:val="single" w:color="AAAAAA" w:sz="1"/>
              <w:left w:val="single" w:color="AAAAAA" w:sz="1"/>
              <w:bottom w:val="single" w:color="AAAAAA" w:sz="1"/>
              <w:right w:val="single" w:color="AAAAAA" w:sz="1"/>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0"/>
                <w:szCs w:val="20"/>
              </w:rPr>
              <w:t xml:space="preserve">Coding / transformation</w:t>
            </w:r>
          </w:p>
        </w:tc>
      </w:tr>
      <w:tr>
        <w:tc>
          <w:tcPr>
            <w:tcW w:type="dxa" w:w="23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NPP acceptance</w:t>
            </w:r>
          </w:p>
        </w:tc>
        <w:tc>
          <w:tcPr>
            <w:tcW w:type="dxa" w:w="23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Q23_5–Q23_10</w:t>
            </w:r>
          </w:p>
        </w:tc>
        <w:tc>
          <w:tcPr>
            <w:tcW w:type="dxa" w:w="47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Mean of six items (1–5)</w:t>
            </w:r>
          </w:p>
        </w:tc>
      </w:tr>
      <w:tr>
        <w:tc>
          <w:tcPr>
            <w:tcW w:type="dxa" w:w="23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Perceived risk (NPP)</w:t>
            </w:r>
          </w:p>
        </w:tc>
        <w:tc>
          <w:tcPr>
            <w:tcW w:type="dxa" w:w="23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Q24_4_53, Q24_4_54</w:t>
            </w:r>
          </w:p>
        </w:tc>
        <w:tc>
          <w:tcPr>
            <w:tcW w:type="dxa" w:w="47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Mean of two items (1–5)</w:t>
            </w:r>
          </w:p>
        </w:tc>
      </w:tr>
      <w:tr>
        <w:tc>
          <w:tcPr>
            <w:tcW w:type="dxa" w:w="23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Trust (technology &amp; policy)</w:t>
            </w:r>
          </w:p>
        </w:tc>
        <w:tc>
          <w:tcPr>
            <w:tcW w:type="dxa" w:w="23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Q24_2_21, Q24_2_22</w:t>
            </w:r>
          </w:p>
        </w:tc>
        <w:tc>
          <w:tcPr>
            <w:tcW w:type="dxa" w:w="47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Mean of two items (1–5)</w:t>
            </w:r>
          </w:p>
        </w:tc>
      </w:tr>
      <w:tr>
        <w:tc>
          <w:tcPr>
            <w:tcW w:type="dxa" w:w="23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Knowledge (organisation &amp; policy)</w:t>
            </w:r>
          </w:p>
        </w:tc>
        <w:tc>
          <w:tcPr>
            <w:tcW w:type="dxa" w:w="23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Q24_4_57, Q24_4_58</w:t>
            </w:r>
          </w:p>
        </w:tc>
        <w:tc>
          <w:tcPr>
            <w:tcW w:type="dxa" w:w="47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Mean of two items (1–5)</w:t>
            </w:r>
          </w:p>
        </w:tc>
      </w:tr>
      <w:tr>
        <w:tc>
          <w:tcPr>
            <w:tcW w:type="dxa" w:w="23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Perceived risk (Fukushima)</w:t>
            </w:r>
          </w:p>
        </w:tc>
        <w:tc>
          <w:tcPr>
            <w:tcW w:type="dxa" w:w="23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Q24_5_71, Q24_5_72</w:t>
            </w:r>
          </w:p>
        </w:tc>
        <w:tc>
          <w:tcPr>
            <w:tcW w:type="dxa" w:w="47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Mean of two items (1–5)</w:t>
            </w:r>
          </w:p>
        </w:tc>
      </w:tr>
      <w:tr>
        <w:tc>
          <w:tcPr>
            <w:tcW w:type="dxa" w:w="23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Trust (FTRW organisations)</w:t>
            </w:r>
          </w:p>
        </w:tc>
        <w:tc>
          <w:tcPr>
            <w:tcW w:type="dxa" w:w="23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Q24_6_81, Q24_6_82</w:t>
            </w:r>
          </w:p>
        </w:tc>
        <w:tc>
          <w:tcPr>
            <w:tcW w:type="dxa" w:w="47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Mean of two items (1–5)</w:t>
            </w:r>
          </w:p>
        </w:tc>
      </w:tr>
      <w:tr>
        <w:tc>
          <w:tcPr>
            <w:tcW w:type="dxa" w:w="23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Knowledge (FTRW)</w:t>
            </w:r>
          </w:p>
        </w:tc>
        <w:tc>
          <w:tcPr>
            <w:tcW w:type="dxa" w:w="23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Q24_6_83, Q24_6_84</w:t>
            </w:r>
          </w:p>
        </w:tc>
        <w:tc>
          <w:tcPr>
            <w:tcW w:type="dxa" w:w="47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Mean of two items (1–5)</w:t>
            </w:r>
          </w:p>
        </w:tc>
      </w:tr>
      <w:tr>
        <w:tc>
          <w:tcPr>
            <w:tcW w:type="dxa" w:w="23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Confidence in fake news</w:t>
            </w:r>
          </w:p>
        </w:tc>
        <w:tc>
          <w:tcPr>
            <w:tcW w:type="dxa" w:w="23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Q30_1–Q30_8</w:t>
            </w:r>
          </w:p>
        </w:tc>
        <w:tc>
          <w:tcPr>
            <w:tcW w:type="dxa" w:w="47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“Don’t know” → missing; false items keyed so higher = more confidence in falsehood; accurate items reverse-keyed; mean of recoded items</w:t>
            </w:r>
          </w:p>
        </w:tc>
      </w:tr>
      <w:tr>
        <w:tc>
          <w:tcPr>
            <w:tcW w:type="dxa" w:w="23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Sex</w:t>
            </w:r>
          </w:p>
        </w:tc>
        <w:tc>
          <w:tcPr>
            <w:tcW w:type="dxa" w:w="23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SQ1</w:t>
            </w:r>
          </w:p>
        </w:tc>
        <w:tc>
          <w:tcPr>
            <w:tcW w:type="dxa" w:w="47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Recoded to dummy: 0 = female, 1 = male</w:t>
            </w:r>
          </w:p>
        </w:tc>
      </w:tr>
      <w:tr>
        <w:tc>
          <w:tcPr>
            <w:tcW w:type="dxa" w:w="23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Age</w:t>
            </w:r>
          </w:p>
        </w:tc>
        <w:tc>
          <w:tcPr>
            <w:tcW w:type="dxa" w:w="23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SQ2</w:t>
            </w:r>
          </w:p>
        </w:tc>
        <w:tc>
          <w:tcPr>
            <w:tcW w:type="dxa" w:w="47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Continuous (years)</w:t>
            </w:r>
          </w:p>
        </w:tc>
      </w:tr>
      <w:tr>
        <w:tc>
          <w:tcPr>
            <w:tcW w:type="dxa" w:w="23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Education</w:t>
            </w:r>
          </w:p>
        </w:tc>
        <w:tc>
          <w:tcPr>
            <w:tcW w:type="dxa" w:w="23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SQ5</w:t>
            </w:r>
          </w:p>
        </w:tc>
        <w:tc>
          <w:tcPr>
            <w:tcW w:type="dxa" w:w="47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Dichotomised: 1–4 = lower (0), 5–8 = higher (1)</w:t>
            </w:r>
          </w:p>
        </w:tc>
      </w:tr>
      <w:tr>
        <w:tc>
          <w:tcPr>
            <w:tcW w:type="dxa" w:w="23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Income</w:t>
            </w:r>
          </w:p>
        </w:tc>
        <w:tc>
          <w:tcPr>
            <w:tcW w:type="dxa" w:w="23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BQ10</w:t>
            </w:r>
          </w:p>
        </w:tc>
        <w:tc>
          <w:tcPr>
            <w:tcW w:type="dxa" w:w="47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Natural-log transformed</w:t>
            </w:r>
          </w:p>
        </w:tc>
      </w:tr>
      <w:tr>
        <w:tc>
          <w:tcPr>
            <w:tcW w:type="dxa" w:w="23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Political ideology</w:t>
            </w:r>
          </w:p>
        </w:tc>
        <w:tc>
          <w:tcPr>
            <w:tcW w:type="dxa" w:w="23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Q39</w:t>
            </w:r>
          </w:p>
        </w:tc>
        <w:tc>
          <w:tcPr>
            <w:tcW w:type="dxa" w:w="47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Self-placement, 1 = very conservative … 7 = very progressive</w:t>
            </w:r>
          </w:p>
        </w:tc>
      </w:tr>
    </w:tbl>
    <w:p>
      <w:pPr>
        <w:spacing w:after="160" w:before="60"/>
      </w:pPr>
      <w:r>
        <w:rPr>
          <w:rFonts w:ascii="Times New Roman" w:cs="Times New Roman" w:eastAsia="Times New Roman" w:hAnsi="Times New Roman"/>
          <w:i/>
          <w:iCs/>
          <w:sz w:val="20"/>
          <w:szCs w:val="20"/>
        </w:rPr>
        <w:t xml:space="preserve">Table S7. Analytic variables, source items, and transformations.</w:t>
      </w:r>
    </w:p>
    <w:p>
      <w:pPr>
        <w:pStyle w:val="Heading1"/>
        <w:spacing w:after="140" w:before="320"/>
      </w:pPr>
      <w:r>
        <w:rPr>
          <w:rFonts w:ascii="Times New Roman" w:cs="Times New Roman" w:eastAsia="Times New Roman" w:hAnsi="Times New Roman"/>
          <w:b/>
          <w:bCs/>
          <w:sz w:val="28"/>
          <w:szCs w:val="28"/>
        </w:rPr>
        <w:t xml:space="preserve">Appendix A: Construct Reliability and Descriptive Summary</w:t>
      </w:r>
    </w:p>
    <w:p>
      <w:pPr>
        <w:spacing w:after="140" w:line="320"/>
        <w:jc w:val="both"/>
      </w:pPr>
      <w:r>
        <w:rPr>
          <w:rFonts w:ascii="Times New Roman" w:cs="Times New Roman" w:eastAsia="Times New Roman" w:hAnsi="Times New Roman"/>
          <w:sz w:val="22"/>
          <w:szCs w:val="22"/>
        </w:rPr>
        <w:t xml:space="preserve">Table S8 reports the number of items, internal-consistency reliability, and item-level descriptive statistics for each multi-item construct. Composite descriptive statistics are reported on the 1–5 metric (item means). Cronbach’s alpha values for the multi-item scales exceeded the conventional .70 threshold in the companion analysis, indicating acceptable-to-excellent internal consistency; the dependent-variable scale was highly reliable (α = .954).</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1100"/>
        <w:gridCol w:w="1400"/>
        <w:gridCol w:w="1400"/>
        <w:gridCol w:w="2460"/>
      </w:tblGrid>
      <w:tr>
        <w:tc>
          <w:tcPr>
            <w:tcW w:type="dxa" w:w="3000"/>
            <w:tcBorders>
              <w:top w:val="single" w:color="AAAAAA" w:sz="1"/>
              <w:left w:val="single" w:color="AAAAAA" w:sz="1"/>
              <w:bottom w:val="single" w:color="AAAAAA" w:sz="1"/>
              <w:right w:val="single" w:color="AAAAAA" w:sz="1"/>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0"/>
                <w:szCs w:val="20"/>
              </w:rPr>
              <w:t xml:space="preserve">Construct</w:t>
            </w:r>
          </w:p>
        </w:tc>
        <w:tc>
          <w:tcPr>
            <w:tcW w:type="dxa" w:w="1100"/>
            <w:tcBorders>
              <w:top w:val="single" w:color="AAAAAA" w:sz="1"/>
              <w:left w:val="single" w:color="AAAAAA" w:sz="1"/>
              <w:bottom w:val="single" w:color="AAAAAA" w:sz="1"/>
              <w:right w:val="single" w:color="AAAAAA" w:sz="1"/>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0"/>
                <w:szCs w:val="20"/>
              </w:rPr>
              <w:t xml:space="preserve">Items</w:t>
            </w:r>
          </w:p>
        </w:tc>
        <w:tc>
          <w:tcPr>
            <w:tcW w:type="dxa" w:w="1400"/>
            <w:tcBorders>
              <w:top w:val="single" w:color="AAAAAA" w:sz="1"/>
              <w:left w:val="single" w:color="AAAAAA" w:sz="1"/>
              <w:bottom w:val="single" w:color="AAAAAA" w:sz="1"/>
              <w:right w:val="single" w:color="AAAAAA" w:sz="1"/>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0"/>
                <w:szCs w:val="20"/>
              </w:rPr>
              <w:t xml:space="preserve">Mean</w:t>
            </w:r>
          </w:p>
        </w:tc>
        <w:tc>
          <w:tcPr>
            <w:tcW w:type="dxa" w:w="1400"/>
            <w:tcBorders>
              <w:top w:val="single" w:color="AAAAAA" w:sz="1"/>
              <w:left w:val="single" w:color="AAAAAA" w:sz="1"/>
              <w:bottom w:val="single" w:color="AAAAAA" w:sz="1"/>
              <w:right w:val="single" w:color="AAAAAA" w:sz="1"/>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0"/>
                <w:szCs w:val="20"/>
              </w:rPr>
              <w:t xml:space="preserve">SD</w:t>
            </w:r>
          </w:p>
        </w:tc>
        <w:tc>
          <w:tcPr>
            <w:tcW w:type="dxa" w:w="2460"/>
            <w:tcBorders>
              <w:top w:val="single" w:color="AAAAAA" w:sz="1"/>
              <w:left w:val="single" w:color="AAAAAA" w:sz="1"/>
              <w:bottom w:val="single" w:color="AAAAAA" w:sz="1"/>
              <w:right w:val="single" w:color="AAAAAA" w:sz="1"/>
            </w:tcBorders>
            <w:shd w:fill="D9E2F3" w:val="clear"/>
            <w:tcMar>
              <w:top w:type="dxa" w:w="60"/>
              <w:left w:type="dxa" w:w="90"/>
              <w:bottom w:type="dxa" w:w="60"/>
              <w:right w:type="dxa" w:w="90"/>
            </w:tcMar>
          </w:tcPr>
          <w:p>
            <w:pPr>
              <w:jc w:val="center"/>
            </w:pPr>
            <w:r>
              <w:rPr>
                <w:rFonts w:ascii="Times New Roman" w:cs="Times New Roman" w:eastAsia="Times New Roman" w:hAnsi="Times New Roman"/>
                <w:b/>
                <w:bCs/>
                <w:sz w:val="20"/>
                <w:szCs w:val="20"/>
              </w:rPr>
              <w:t xml:space="preserve">Reliability (α)</w:t>
            </w:r>
          </w:p>
        </w:tc>
      </w:tr>
      <w:tr>
        <w:tc>
          <w:tcPr>
            <w:tcW w:type="dxa" w:w="30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NPP acceptance</w:t>
            </w:r>
          </w:p>
        </w:tc>
        <w:tc>
          <w:tcPr>
            <w:tcW w:type="dxa" w:w="11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6</w:t>
            </w:r>
          </w:p>
        </w:tc>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2.61</w:t>
            </w:r>
          </w:p>
        </w:tc>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1.01</w:t>
            </w:r>
          </w:p>
        </w:tc>
        <w:tc>
          <w:tcPr>
            <w:tcW w:type="dxa" w:w="24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.954</w:t>
            </w:r>
          </w:p>
        </w:tc>
      </w:tr>
      <w:tr>
        <w:tc>
          <w:tcPr>
            <w:tcW w:type="dxa" w:w="30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Perceived risk (NPP)</w:t>
            </w:r>
          </w:p>
        </w:tc>
        <w:tc>
          <w:tcPr>
            <w:tcW w:type="dxa" w:w="11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2</w:t>
            </w:r>
          </w:p>
        </w:tc>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3.24</w:t>
            </w:r>
          </w:p>
        </w:tc>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0.84</w:t>
            </w:r>
          </w:p>
        </w:tc>
        <w:tc>
          <w:tcPr>
            <w:tcW w:type="dxa" w:w="24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.762</w:t>
            </w:r>
          </w:p>
        </w:tc>
      </w:tr>
      <w:tr>
        <w:tc>
          <w:tcPr>
            <w:tcW w:type="dxa" w:w="30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Trust (technology &amp; policy)</w:t>
            </w:r>
          </w:p>
        </w:tc>
        <w:tc>
          <w:tcPr>
            <w:tcW w:type="dxa" w:w="11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2</w:t>
            </w:r>
          </w:p>
        </w:tc>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3.09</w:t>
            </w:r>
          </w:p>
        </w:tc>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0.83</w:t>
            </w:r>
          </w:p>
        </w:tc>
        <w:tc>
          <w:tcPr>
            <w:tcW w:type="dxa" w:w="24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.848</w:t>
            </w:r>
          </w:p>
        </w:tc>
      </w:tr>
      <w:tr>
        <w:tc>
          <w:tcPr>
            <w:tcW w:type="dxa" w:w="30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Knowledge (organisation &amp; policy)</w:t>
            </w:r>
          </w:p>
        </w:tc>
        <w:tc>
          <w:tcPr>
            <w:tcW w:type="dxa" w:w="11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2</w:t>
            </w:r>
          </w:p>
        </w:tc>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2.85</w:t>
            </w:r>
          </w:p>
        </w:tc>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0.76</w:t>
            </w:r>
          </w:p>
        </w:tc>
        <w:tc>
          <w:tcPr>
            <w:tcW w:type="dxa" w:w="24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.876</w:t>
            </w:r>
          </w:p>
        </w:tc>
      </w:tr>
      <w:tr>
        <w:tc>
          <w:tcPr>
            <w:tcW w:type="dxa" w:w="30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Perceived risk (Fukushima)</w:t>
            </w:r>
          </w:p>
        </w:tc>
        <w:tc>
          <w:tcPr>
            <w:tcW w:type="dxa" w:w="11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2</w:t>
            </w:r>
          </w:p>
        </w:tc>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3.81</w:t>
            </w:r>
          </w:p>
        </w:tc>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0.90</w:t>
            </w:r>
          </w:p>
        </w:tc>
        <w:tc>
          <w:tcPr>
            <w:tcW w:type="dxa" w:w="24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.891</w:t>
            </w:r>
          </w:p>
        </w:tc>
      </w:tr>
      <w:tr>
        <w:tc>
          <w:tcPr>
            <w:tcW w:type="dxa" w:w="30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Trust (FTRW organisations)</w:t>
            </w:r>
          </w:p>
        </w:tc>
        <w:tc>
          <w:tcPr>
            <w:tcW w:type="dxa" w:w="11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2</w:t>
            </w:r>
          </w:p>
        </w:tc>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2.65</w:t>
            </w:r>
          </w:p>
        </w:tc>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1.03</w:t>
            </w:r>
          </w:p>
        </w:tc>
        <w:tc>
          <w:tcPr>
            <w:tcW w:type="dxa" w:w="24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.839</w:t>
            </w:r>
          </w:p>
        </w:tc>
      </w:tr>
      <w:tr>
        <w:tc>
          <w:tcPr>
            <w:tcW w:type="dxa" w:w="30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Knowledge (FTRW)</w:t>
            </w:r>
          </w:p>
        </w:tc>
        <w:tc>
          <w:tcPr>
            <w:tcW w:type="dxa" w:w="11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2</w:t>
            </w:r>
          </w:p>
        </w:tc>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3.03</w:t>
            </w:r>
          </w:p>
        </w:tc>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0.85</w:t>
            </w:r>
          </w:p>
        </w:tc>
        <w:tc>
          <w:tcPr>
            <w:tcW w:type="dxa" w:w="24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.888</w:t>
            </w:r>
          </w:p>
        </w:tc>
      </w:tr>
      <w:tr>
        <w:tc>
          <w:tcPr>
            <w:tcW w:type="dxa" w:w="30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left"/>
            </w:pPr>
            <w:r>
              <w:rPr>
                <w:rFonts w:ascii="Times New Roman" w:cs="Times New Roman" w:eastAsia="Times New Roman" w:hAnsi="Times New Roman"/>
                <w:b w:val="false"/>
                <w:bCs w:val="false"/>
                <w:sz w:val="20"/>
                <w:szCs w:val="20"/>
              </w:rPr>
              <w:t xml:space="preserve">Confidence in fake news</w:t>
            </w:r>
          </w:p>
        </w:tc>
        <w:tc>
          <w:tcPr>
            <w:tcW w:type="dxa" w:w="11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8</w:t>
            </w:r>
          </w:p>
        </w:tc>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w:t>
            </w:r>
          </w:p>
        </w:tc>
        <w:tc>
          <w:tcPr>
            <w:tcW w:type="dxa" w:w="140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w:t>
            </w:r>
          </w:p>
        </w:tc>
        <w:tc>
          <w:tcPr>
            <w:tcW w:type="dxa" w:w="2460"/>
            <w:tcBorders>
              <w:top w:val="single" w:color="AAAAAA" w:sz="1"/>
              <w:left w:val="single" w:color="AAAAAA" w:sz="1"/>
              <w:bottom w:val="single" w:color="AAAAAA" w:sz="1"/>
              <w:right w:val="single" w:color="AAAAAA" w:sz="1"/>
            </w:tcBorders>
            <w:tcMar>
              <w:top w:type="dxa" w:w="60"/>
              <w:left w:type="dxa" w:w="90"/>
              <w:bottom w:type="dxa" w:w="60"/>
              <w:right w:type="dxa" w:w="90"/>
            </w:tcMar>
          </w:tcPr>
          <w:p>
            <w:pPr>
              <w:jc w:val="center"/>
            </w:pPr>
            <w:r>
              <w:rPr>
                <w:rFonts w:ascii="Times New Roman" w:cs="Times New Roman" w:eastAsia="Times New Roman" w:hAnsi="Times New Roman"/>
                <w:b w:val="false"/>
                <w:bCs w:val="false"/>
                <w:sz w:val="20"/>
                <w:szCs w:val="20"/>
              </w:rPr>
              <w:t xml:space="preserve">—</w:t>
            </w:r>
          </w:p>
        </w:tc>
      </w:tr>
    </w:tbl>
    <w:p>
      <w:pPr>
        <w:spacing w:after="120" w:before="60"/>
      </w:pPr>
      <w:r>
        <w:rPr>
          <w:rFonts w:ascii="Times New Roman" w:cs="Times New Roman" w:eastAsia="Times New Roman" w:hAnsi="Times New Roman"/>
          <w:i/>
          <w:iCs/>
          <w:sz w:val="19"/>
          <w:szCs w:val="19"/>
        </w:rPr>
        <w:t xml:space="preserve">Table S8. Reliability and descriptive summary of analytic constructs (item-mean metric, 1–5). Composite means and standard deviations were computed from the delivered dataset (N = 1,898; listwise per construct). Reliability coefficients are as reported in the companion analysis. For confidence in fake news, no single alpha is reported because the scale deliberately combines false and (reverse-keyed) accurate items and treats “Don’t know” as missing; see Appendix B.</w:t>
      </w:r>
    </w:p>
    <w:p>
      <w:pPr>
        <w:spacing w:after="140" w:line="320"/>
        <w:jc w:val="both"/>
      </w:pPr>
      <w:r>
        <w:rPr>
          <w:rFonts w:ascii="Times New Roman" w:cs="Times New Roman" w:eastAsia="Times New Roman" w:hAnsi="Times New Roman"/>
          <w:b/>
          <w:bCs/>
          <w:i/>
          <w:iCs/>
          <w:sz w:val="20"/>
          <w:szCs w:val="20"/>
        </w:rPr>
        <w:t xml:space="preserve">Reproducibility note. </w:t>
      </w:r>
      <w:r>
        <w:rPr>
          <w:rFonts w:ascii="Times New Roman" w:cs="Times New Roman" w:eastAsia="Times New Roman" w:hAnsi="Times New Roman"/>
          <w:i/>
          <w:iCs/>
          <w:sz w:val="20"/>
          <w:szCs w:val="20"/>
        </w:rPr>
        <w:t xml:space="preserve">Composite means and standard deviations above were recomputed directly from the SPSS data file and are reported on the item-mean 1-to-5 metric. Where the manuscript reports a construct on a summed metric, for example the six-item acceptance scale summed to a 6–30 range, the corresponding item-mean is mathematically equivalent: the sum divided by the number of items.</w:t>
      </w:r>
    </w:p>
    <w:p>
      <w:pPr>
        <w:pStyle w:val="Heading1"/>
        <w:spacing w:after="140" w:before="320"/>
      </w:pPr>
      <w:r>
        <w:rPr>
          <w:rFonts w:ascii="Times New Roman" w:cs="Times New Roman" w:eastAsia="Times New Roman" w:hAnsi="Times New Roman"/>
          <w:b/>
          <w:bCs/>
          <w:sz w:val="28"/>
          <w:szCs w:val="28"/>
        </w:rPr>
        <w:t xml:space="preserve">Appendix B: Scale Construction and Mean-Centring for Moderation Analyses</w:t>
      </w:r>
    </w:p>
    <w:p>
      <w:pPr>
        <w:spacing w:after="80" w:before="160"/>
      </w:pPr>
      <w:r>
        <w:rPr>
          <w:rFonts w:ascii="Times New Roman" w:cs="Times New Roman" w:eastAsia="Times New Roman" w:hAnsi="Times New Roman"/>
          <w:b/>
          <w:bCs/>
          <w:i/>
          <w:iCs/>
          <w:sz w:val="23"/>
          <w:szCs w:val="23"/>
        </w:rPr>
        <w:t xml:space="preserve">B.1 Composite construction</w:t>
      </w:r>
    </w:p>
    <w:p>
      <w:pPr>
        <w:spacing w:after="140" w:line="320"/>
        <w:jc w:val="both"/>
      </w:pPr>
      <w:r>
        <w:rPr>
          <w:rFonts w:ascii="Times New Roman" w:cs="Times New Roman" w:eastAsia="Times New Roman" w:hAnsi="Times New Roman"/>
          <w:sz w:val="22"/>
          <w:szCs w:val="22"/>
        </w:rPr>
        <w:t xml:space="preserve">Each multi-item construct was reduced to a single composite equal to the unweighted mean of its constituent items, computed for respondents with valid responses on all items of that construct. This preserves the original 1–5 response metric and facilitates interpretation of regression coefficients.</w:t>
      </w:r>
    </w:p>
    <w:p>
      <w:pPr>
        <w:spacing w:after="80" w:before="160"/>
      </w:pPr>
      <w:r>
        <w:rPr>
          <w:rFonts w:ascii="Times New Roman" w:cs="Times New Roman" w:eastAsia="Times New Roman" w:hAnsi="Times New Roman"/>
          <w:b/>
          <w:bCs/>
          <w:i/>
          <w:iCs/>
          <w:sz w:val="23"/>
          <w:szCs w:val="23"/>
        </w:rPr>
        <w:t xml:space="preserve">B.2 Confidence-in-fake-news index</w:t>
      </w:r>
    </w:p>
    <w:p>
      <w:pPr>
        <w:spacing w:after="140" w:line="320"/>
        <w:jc w:val="both"/>
      </w:pPr>
      <w:r>
        <w:rPr>
          <w:rFonts w:ascii="Times New Roman" w:cs="Times New Roman" w:eastAsia="Times New Roman" w:hAnsi="Times New Roman"/>
          <w:sz w:val="22"/>
          <w:szCs w:val="22"/>
        </w:rPr>
        <w:t xml:space="preserve">The confidence-in-fake-news index was constructed in three steps. First, “Don’t know” responses (originally coded 1) were set to missing, so that the index reflects expressed confidence rather than admitted ignorance. Second, the four false statements (Q30_1, Q30_2, Q30_3, Q30_5, Q30_7, Q30_8 keyed as false; Q30_4 and Q30_6 keyed as accurate) were scored so that greater endorsement of falsehoods, and greater rejection of accurate statements, both raise the index. Third, the recoded items were averaged. This design captures two complementary facets of misinformation susceptibility: belief in false claims and resistance to accurate ones.</w:t>
      </w:r>
    </w:p>
    <w:p>
      <w:pPr>
        <w:spacing w:after="140" w:line="320"/>
        <w:jc w:val="both"/>
      </w:pPr>
      <w:r>
        <w:rPr>
          <w:rFonts w:ascii="Times New Roman" w:cs="Times New Roman" w:eastAsia="Times New Roman" w:hAnsi="Times New Roman"/>
          <w:i/>
          <w:iCs/>
          <w:sz w:val="21"/>
          <w:szCs w:val="21"/>
        </w:rPr>
        <w:t xml:space="preserve">Clarification of item keying. </w:t>
      </w:r>
      <w:r>
        <w:rPr>
          <w:rFonts w:ascii="Times New Roman" w:cs="Times New Roman" w:eastAsia="Times New Roman" w:hAnsi="Times New Roman"/>
          <w:i/>
          <w:iCs/>
          <w:sz w:val="21"/>
          <w:szCs w:val="21"/>
        </w:rPr>
        <w:t xml:space="preserve">Of the eight statements, six are factually false (Q30_1, Q30_2, Q30_3, Q30_5, Q30_7, Q30_8) and two are factually accurate (Q30_4, Q30_6). Accurate items were reverse-keyed prior to averaging so that all items point in the same direction (higher = greater confidence in fake news).</w:t>
      </w:r>
    </w:p>
    <w:p>
      <w:pPr>
        <w:spacing w:after="80" w:before="160"/>
      </w:pPr>
      <w:r>
        <w:rPr>
          <w:rFonts w:ascii="Times New Roman" w:cs="Times New Roman" w:eastAsia="Times New Roman" w:hAnsi="Times New Roman"/>
          <w:b/>
          <w:bCs/>
          <w:i/>
          <w:iCs/>
          <w:sz w:val="23"/>
          <w:szCs w:val="23"/>
        </w:rPr>
        <w:t xml:space="preserve">B.3 Mean-centring and interaction terms</w:t>
      </w:r>
    </w:p>
    <w:p>
      <w:pPr>
        <w:spacing w:after="140" w:line="320"/>
        <w:jc w:val="both"/>
      </w:pPr>
      <w:r>
        <w:rPr>
          <w:rFonts w:ascii="Times New Roman" w:cs="Times New Roman" w:eastAsia="Times New Roman" w:hAnsi="Times New Roman"/>
          <w:sz w:val="22"/>
          <w:szCs w:val="22"/>
        </w:rPr>
        <w:t xml:space="preserve">To test the moderating role of confidence in fake news, interaction terms were formed by multiplying the (mean-centred) predictor of interest by the (mean-centred) confidence-in-fake-news composite. Centring reduces nonessential multicollinearity between the constituent variables and their product and yields interpretable lower-order coefficients at the sample mean. Six interaction terms were created—confidence in fake news × perceived risk (NPP); × perceived risk (Fukushima); × trust (technology &amp; organisation); × knowledge (organisation &amp; policy); × trust (FTRW organisations); and × knowledge (FTRW)—and entered as a block following the constituent main effects.</w:t>
      </w:r>
    </w:p>
    <w:p>
      <w:pPr>
        <w:spacing w:after="80" w:before="160"/>
      </w:pPr>
      <w:r>
        <w:rPr>
          <w:rFonts w:ascii="Times New Roman" w:cs="Times New Roman" w:eastAsia="Times New Roman" w:hAnsi="Times New Roman"/>
          <w:b/>
          <w:bCs/>
          <w:i/>
          <w:iCs/>
          <w:sz w:val="23"/>
          <w:szCs w:val="23"/>
        </w:rPr>
        <w:t xml:space="preserve">B.4 Simple-slopes analysis</w:t>
      </w:r>
    </w:p>
    <w:p>
      <w:pPr>
        <w:spacing w:after="140" w:line="320"/>
        <w:jc w:val="both"/>
      </w:pPr>
      <w:r>
        <w:rPr>
          <w:rFonts w:ascii="Times New Roman" w:cs="Times New Roman" w:eastAsia="Times New Roman" w:hAnsi="Times New Roman"/>
          <w:sz w:val="22"/>
          <w:szCs w:val="22"/>
        </w:rPr>
        <w:t xml:space="preserve">Where an interaction term was statistically significant, its form was probed with a simple-slopes (simple-effects) analysis estimating the effect of the focal predictor on acceptance at low (mean − 1 SD), average (mean), and high (mean + 1 SD) levels of confidence in fake news, holding the remaining predictors constant.</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40" w:before="320"/>
      <w:outlineLvl w:val="0"/>
    </w:pPr>
    <w:rPr>
      <w:rFonts w:ascii="Times New Roman" w:cs="Times New Roman" w:eastAsia="Times New Roman" w:hAnsi="Times New Roman"/>
      <w:b/>
      <w:bCs/>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2026-05-24T23:43:25.215Z</dcterms:created>
  <dcterms:modified xsi:type="dcterms:W3CDTF">2026-05-24T23:43:25.215Z</dcterms:modified>
</cp:coreProperties>
</file>

<file path=docProps/custom.xml><?xml version="1.0" encoding="utf-8"?>
<Properties xmlns="http://schemas.openxmlformats.org/officeDocument/2006/custom-properties" xmlns:vt="http://schemas.openxmlformats.org/officeDocument/2006/docPropsVTypes"/>
</file>