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A4B6F" w14:textId="77777777" w:rsidR="007D4146" w:rsidRDefault="007D4146" w:rsidP="007D4146">
      <w:pPr>
        <w:pStyle w:val="Default"/>
        <w:spacing w:before="0" w:line="480" w:lineRule="auto"/>
        <w:jc w:val="center"/>
        <w:rPr>
          <w:rFonts w:ascii="Calibri" w:eastAsia="Calibri" w:hAnsi="Calibri" w:cs="Calibri"/>
          <w:b/>
          <w:bCs/>
          <w:sz w:val="32"/>
          <w:szCs w:val="32"/>
        </w:rPr>
      </w:pPr>
      <w:r>
        <w:rPr>
          <w:rFonts w:ascii="Calibri" w:hAnsi="Calibri"/>
          <w:b/>
          <w:bCs/>
          <w:sz w:val="32"/>
          <w:szCs w:val="32"/>
        </w:rPr>
        <w:t>Appendix -1</w:t>
      </w:r>
    </w:p>
    <w:p w14:paraId="4A1CB338" w14:textId="77777777" w:rsidR="007D4146" w:rsidRDefault="007D4146" w:rsidP="007D4146">
      <w:pPr>
        <w:pStyle w:val="Default"/>
        <w:spacing w:before="0" w:line="480" w:lineRule="auto"/>
        <w:rPr>
          <w:rFonts w:ascii="Calibri" w:eastAsia="Calibri" w:hAnsi="Calibri" w:cs="Calibri"/>
          <w:sz w:val="32"/>
          <w:szCs w:val="32"/>
        </w:rPr>
      </w:pPr>
    </w:p>
    <w:p w14:paraId="4A1459A3" w14:textId="77777777" w:rsidR="007D4146" w:rsidRDefault="007D4146" w:rsidP="007D4146">
      <w:pPr>
        <w:pStyle w:val="Default"/>
        <w:spacing w:before="0" w:line="480" w:lineRule="auto"/>
        <w:jc w:val="center"/>
        <w:rPr>
          <w:rFonts w:ascii="Calibri" w:eastAsia="Calibri" w:hAnsi="Calibri" w:cs="Calibri"/>
          <w:sz w:val="32"/>
          <w:szCs w:val="32"/>
        </w:rPr>
      </w:pPr>
      <w:r>
        <w:rPr>
          <w:rFonts w:ascii="Calibri" w:eastAsia="Calibri" w:hAnsi="Calibri" w:cs="Calibri"/>
          <w:noProof/>
          <w:sz w:val="32"/>
          <w:szCs w:val="32"/>
        </w:rPr>
        <w:drawing>
          <wp:anchor distT="152400" distB="152400" distL="152400" distR="152400" simplePos="0" relativeHeight="251659264" behindDoc="0" locked="0" layoutInCell="1" allowOverlap="1" wp14:anchorId="3D2C97D0" wp14:editId="72C8C846">
            <wp:simplePos x="0" y="0"/>
            <wp:positionH relativeFrom="margin">
              <wp:posOffset>-193040</wp:posOffset>
            </wp:positionH>
            <wp:positionV relativeFrom="line">
              <wp:posOffset>497840</wp:posOffset>
            </wp:positionV>
            <wp:extent cx="6426200" cy="3149600"/>
            <wp:effectExtent l="0" t="0" r="0" b="0"/>
            <wp:wrapTopAndBottom distT="152400" distB="152400"/>
            <wp:docPr id="1073741828" name="officeArt object" descr="Screenshot 2024-08-23 at 1.19.56 PM.jpeg"/>
            <wp:cNvGraphicFramePr/>
            <a:graphic xmlns:a="http://schemas.openxmlformats.org/drawingml/2006/main">
              <a:graphicData uri="http://schemas.openxmlformats.org/drawingml/2006/picture">
                <pic:pic xmlns:pic="http://schemas.openxmlformats.org/drawingml/2006/picture">
                  <pic:nvPicPr>
                    <pic:cNvPr id="1073741828" name="Screenshot 2024-08-23 at 1.19.56 PM.jpeg" descr="Screenshot 2024-08-23 at 1.19.56 PM.jpeg"/>
                    <pic:cNvPicPr>
                      <a:picLocks noChangeAspect="1"/>
                    </pic:cNvPicPr>
                  </pic:nvPicPr>
                  <pic:blipFill>
                    <a:blip r:embed="rId4"/>
                    <a:stretch>
                      <a:fillRect/>
                    </a:stretch>
                  </pic:blipFill>
                  <pic:spPr>
                    <a:xfrm>
                      <a:off x="0" y="0"/>
                      <a:ext cx="6426200" cy="31496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None"/>
          <w:rFonts w:ascii="Calibri" w:hAnsi="Calibri"/>
          <w:sz w:val="30"/>
          <w:szCs w:val="30"/>
        </w:rPr>
        <w:t>The Ovid search strategy for this CLR.</w:t>
      </w:r>
    </w:p>
    <w:p w14:paraId="09BFAA72" w14:textId="77777777" w:rsidR="007D4146" w:rsidRDefault="007D4146" w:rsidP="007D4146">
      <w:pPr>
        <w:pStyle w:val="Default"/>
        <w:spacing w:before="0" w:line="480" w:lineRule="auto"/>
        <w:jc w:val="center"/>
        <w:rPr>
          <w:rFonts w:ascii="Calibri" w:eastAsia="Calibri" w:hAnsi="Calibri" w:cs="Calibri"/>
          <w:b/>
          <w:bCs/>
          <w:sz w:val="32"/>
          <w:szCs w:val="32"/>
        </w:rPr>
      </w:pPr>
      <w:r>
        <w:rPr>
          <w:rFonts w:ascii="Calibri" w:hAnsi="Calibri"/>
          <w:b/>
          <w:bCs/>
          <w:sz w:val="32"/>
          <w:szCs w:val="32"/>
        </w:rPr>
        <w:t xml:space="preserve"> </w:t>
      </w:r>
    </w:p>
    <w:p w14:paraId="18FA7DEE" w14:textId="77777777" w:rsidR="007D4146" w:rsidRDefault="007D4146" w:rsidP="007D4146">
      <w:pPr>
        <w:pStyle w:val="Default"/>
        <w:spacing w:before="0" w:line="480" w:lineRule="auto"/>
        <w:jc w:val="center"/>
        <w:rPr>
          <w:rFonts w:ascii="Calibri" w:eastAsia="Calibri" w:hAnsi="Calibri" w:cs="Calibri"/>
          <w:b/>
          <w:bCs/>
          <w:sz w:val="32"/>
          <w:szCs w:val="32"/>
        </w:rPr>
      </w:pPr>
    </w:p>
    <w:p w14:paraId="5CBDD4DF" w14:textId="77777777" w:rsidR="007D4146" w:rsidRDefault="007D4146" w:rsidP="007D4146">
      <w:pPr>
        <w:pStyle w:val="Default"/>
        <w:spacing w:before="0" w:line="480" w:lineRule="auto"/>
        <w:jc w:val="center"/>
        <w:rPr>
          <w:rFonts w:ascii="Calibri" w:eastAsia="Calibri" w:hAnsi="Calibri" w:cs="Calibri"/>
          <w:b/>
          <w:bCs/>
          <w:sz w:val="32"/>
          <w:szCs w:val="32"/>
        </w:rPr>
      </w:pPr>
    </w:p>
    <w:p w14:paraId="799C5ECD" w14:textId="77777777" w:rsidR="007D4146" w:rsidRDefault="007D4146" w:rsidP="007D4146">
      <w:pPr>
        <w:pStyle w:val="Default"/>
        <w:spacing w:before="0" w:line="480" w:lineRule="auto"/>
        <w:jc w:val="center"/>
        <w:rPr>
          <w:rFonts w:ascii="Calibri" w:eastAsia="Calibri" w:hAnsi="Calibri" w:cs="Calibri"/>
          <w:b/>
          <w:bCs/>
          <w:sz w:val="32"/>
          <w:szCs w:val="32"/>
        </w:rPr>
      </w:pPr>
    </w:p>
    <w:p w14:paraId="7EEDDEF9" w14:textId="77777777" w:rsidR="007D4146" w:rsidRDefault="007D4146" w:rsidP="007D4146">
      <w:pPr>
        <w:pStyle w:val="Default"/>
        <w:spacing w:before="0" w:line="480" w:lineRule="auto"/>
        <w:jc w:val="center"/>
        <w:rPr>
          <w:rFonts w:ascii="Calibri" w:eastAsia="Calibri" w:hAnsi="Calibri" w:cs="Calibri"/>
          <w:b/>
          <w:bCs/>
          <w:sz w:val="32"/>
          <w:szCs w:val="32"/>
        </w:rPr>
      </w:pPr>
    </w:p>
    <w:p w14:paraId="068FE415" w14:textId="77777777" w:rsidR="007D4146" w:rsidRDefault="007D4146" w:rsidP="007D4146">
      <w:pPr>
        <w:pStyle w:val="Default"/>
        <w:spacing w:before="0" w:line="480" w:lineRule="auto"/>
        <w:jc w:val="center"/>
        <w:rPr>
          <w:rFonts w:ascii="Calibri" w:eastAsia="Calibri" w:hAnsi="Calibri" w:cs="Calibri"/>
          <w:b/>
          <w:bCs/>
          <w:sz w:val="32"/>
          <w:szCs w:val="32"/>
        </w:rPr>
      </w:pPr>
    </w:p>
    <w:p w14:paraId="592DA337" w14:textId="77777777" w:rsidR="007D4146" w:rsidRDefault="007D4146" w:rsidP="007D4146">
      <w:pPr>
        <w:pStyle w:val="Default"/>
        <w:spacing w:before="0" w:line="480" w:lineRule="auto"/>
        <w:jc w:val="center"/>
        <w:rPr>
          <w:rFonts w:ascii="Calibri" w:eastAsia="Calibri" w:hAnsi="Calibri" w:cs="Calibri"/>
          <w:b/>
          <w:bCs/>
          <w:sz w:val="32"/>
          <w:szCs w:val="32"/>
        </w:rPr>
      </w:pPr>
    </w:p>
    <w:p w14:paraId="46DB478D" w14:textId="77777777" w:rsidR="007D4146" w:rsidRDefault="007D4146" w:rsidP="007D4146">
      <w:pPr>
        <w:pStyle w:val="Default"/>
        <w:spacing w:before="0" w:line="480" w:lineRule="auto"/>
        <w:jc w:val="center"/>
        <w:rPr>
          <w:rFonts w:ascii="Calibri" w:eastAsia="Calibri" w:hAnsi="Calibri" w:cs="Calibri"/>
          <w:b/>
          <w:bCs/>
          <w:sz w:val="32"/>
          <w:szCs w:val="32"/>
        </w:rPr>
      </w:pPr>
    </w:p>
    <w:p w14:paraId="6554CC81" w14:textId="77777777" w:rsidR="007D4146" w:rsidRDefault="007D4146" w:rsidP="007D4146">
      <w:pPr>
        <w:pStyle w:val="Default"/>
        <w:spacing w:before="0" w:line="480" w:lineRule="auto"/>
        <w:jc w:val="center"/>
        <w:rPr>
          <w:rFonts w:ascii="Calibri" w:eastAsia="Calibri" w:hAnsi="Calibri" w:cs="Calibri"/>
          <w:b/>
          <w:bCs/>
          <w:sz w:val="32"/>
          <w:szCs w:val="32"/>
        </w:rPr>
      </w:pPr>
    </w:p>
    <w:p w14:paraId="01365A5E" w14:textId="77777777" w:rsidR="007D4146" w:rsidRDefault="007D4146" w:rsidP="007D4146">
      <w:pPr>
        <w:pStyle w:val="Default"/>
        <w:spacing w:before="0" w:line="480" w:lineRule="auto"/>
        <w:jc w:val="center"/>
        <w:rPr>
          <w:rFonts w:ascii="Calibri" w:eastAsia="Calibri" w:hAnsi="Calibri" w:cs="Calibri"/>
          <w:b/>
          <w:bCs/>
          <w:sz w:val="32"/>
          <w:szCs w:val="32"/>
        </w:rPr>
      </w:pPr>
    </w:p>
    <w:p w14:paraId="1D357209" w14:textId="77777777" w:rsidR="007D4146" w:rsidRDefault="007D4146" w:rsidP="007D4146">
      <w:pPr>
        <w:pStyle w:val="Default"/>
        <w:spacing w:before="0" w:line="480" w:lineRule="auto"/>
        <w:jc w:val="center"/>
        <w:rPr>
          <w:rFonts w:ascii="Calibri" w:eastAsia="Calibri" w:hAnsi="Calibri" w:cs="Calibri"/>
          <w:b/>
          <w:bCs/>
          <w:sz w:val="32"/>
          <w:szCs w:val="32"/>
        </w:rPr>
      </w:pPr>
      <w:r>
        <w:rPr>
          <w:rFonts w:ascii="Calibri" w:hAnsi="Calibri"/>
          <w:b/>
          <w:bCs/>
          <w:sz w:val="32"/>
          <w:szCs w:val="32"/>
        </w:rPr>
        <w:t>Appendix -2</w:t>
      </w:r>
    </w:p>
    <w:p w14:paraId="26648B5B" w14:textId="77777777" w:rsidR="007D4146" w:rsidRDefault="007D4146" w:rsidP="007D4146">
      <w:pPr>
        <w:pStyle w:val="Default"/>
        <w:spacing w:before="0" w:line="480" w:lineRule="auto"/>
        <w:jc w:val="center"/>
        <w:rPr>
          <w:rFonts w:ascii="Calibri" w:eastAsia="Calibri" w:hAnsi="Calibri" w:cs="Calibri"/>
          <w:b/>
          <w:bCs/>
          <w:sz w:val="32"/>
          <w:szCs w:val="32"/>
        </w:rPr>
      </w:pPr>
    </w:p>
    <w:p w14:paraId="7A42D6FE" w14:textId="77777777" w:rsidR="007D4146" w:rsidRDefault="007D4146" w:rsidP="007D4146">
      <w:pPr>
        <w:pStyle w:val="Default"/>
        <w:spacing w:before="0" w:line="480" w:lineRule="auto"/>
        <w:jc w:val="center"/>
        <w:rPr>
          <w:rFonts w:ascii="Calibri" w:eastAsia="Calibri" w:hAnsi="Calibri" w:cs="Calibri"/>
          <w:sz w:val="28"/>
          <w:szCs w:val="28"/>
        </w:rPr>
      </w:pPr>
      <w:r>
        <w:rPr>
          <w:rFonts w:ascii="Calibri" w:eastAsia="Calibri" w:hAnsi="Calibri" w:cs="Calibri"/>
          <w:noProof/>
          <w:sz w:val="28"/>
          <w:szCs w:val="28"/>
        </w:rPr>
        <w:drawing>
          <wp:anchor distT="152400" distB="152400" distL="152400" distR="152400" simplePos="0" relativeHeight="251660288" behindDoc="0" locked="0" layoutInCell="1" allowOverlap="1" wp14:anchorId="1BB8191F" wp14:editId="00A87F20">
            <wp:simplePos x="0" y="0"/>
            <wp:positionH relativeFrom="margin">
              <wp:posOffset>-182237</wp:posOffset>
            </wp:positionH>
            <wp:positionV relativeFrom="line">
              <wp:posOffset>579562</wp:posOffset>
            </wp:positionV>
            <wp:extent cx="6652718" cy="3941721"/>
            <wp:effectExtent l="0" t="0" r="0" b="0"/>
            <wp:wrapTopAndBottom distT="152400" distB="152400"/>
            <wp:docPr id="1073741829" name="officeArt object" descr="Screenshot 2024-08-28 at 12.53.07 PM.jpeg"/>
            <wp:cNvGraphicFramePr/>
            <a:graphic xmlns:a="http://schemas.openxmlformats.org/drawingml/2006/main">
              <a:graphicData uri="http://schemas.openxmlformats.org/drawingml/2006/picture">
                <pic:pic xmlns:pic="http://schemas.openxmlformats.org/drawingml/2006/picture">
                  <pic:nvPicPr>
                    <pic:cNvPr id="1073741829" name="Screenshot 2024-08-28 at 12.53.07 PM.jpeg" descr="Screenshot 2024-08-28 at 12.53.07 PM.jpeg"/>
                    <pic:cNvPicPr>
                      <a:picLocks noChangeAspect="1"/>
                    </pic:cNvPicPr>
                  </pic:nvPicPr>
                  <pic:blipFill>
                    <a:blip r:embed="rId5"/>
                    <a:stretch>
                      <a:fillRect/>
                    </a:stretch>
                  </pic:blipFill>
                  <pic:spPr>
                    <a:xfrm>
                      <a:off x="0" y="0"/>
                      <a:ext cx="6652718" cy="3941721"/>
                    </a:xfrm>
                    <a:prstGeom prst="rect">
                      <a:avLst/>
                    </a:prstGeom>
                    <a:ln w="12700" cap="flat">
                      <a:noFill/>
                      <a:miter lim="400000"/>
                    </a:ln>
                    <a:effectLst/>
                  </pic:spPr>
                </pic:pic>
              </a:graphicData>
            </a:graphic>
          </wp:anchor>
        </w:drawing>
      </w:r>
      <w:r>
        <w:rPr>
          <w:rFonts w:ascii="Calibri" w:hAnsi="Calibri"/>
          <w:sz w:val="28"/>
          <w:szCs w:val="28"/>
        </w:rPr>
        <w:t>The MMAT tool used for this CLR is given below.</w:t>
      </w:r>
    </w:p>
    <w:p w14:paraId="713EC7EB" w14:textId="77777777" w:rsidR="007D4146" w:rsidRDefault="007D4146" w:rsidP="007D4146">
      <w:pPr>
        <w:pStyle w:val="Default"/>
        <w:spacing w:before="0" w:line="480" w:lineRule="auto"/>
        <w:jc w:val="center"/>
        <w:rPr>
          <w:rStyle w:val="None"/>
          <w:rFonts w:ascii="Calibri" w:eastAsia="Calibri" w:hAnsi="Calibri" w:cs="Calibri"/>
          <w:sz w:val="30"/>
          <w:szCs w:val="30"/>
        </w:rPr>
      </w:pPr>
      <w:r>
        <w:rPr>
          <w:rFonts w:ascii="Calibri" w:hAnsi="Calibri"/>
          <w:sz w:val="22"/>
          <w:szCs w:val="22"/>
        </w:rPr>
        <w:t xml:space="preserve">Source- </w:t>
      </w:r>
      <w:hyperlink r:id="rId6" w:history="1">
        <w:r w:rsidRPr="002A45AF">
          <w:rPr>
            <w:rStyle w:val="Hyperlink"/>
            <w:rFonts w:ascii="Calibri" w:hAnsi="Calibri"/>
            <w:sz w:val="22"/>
            <w:szCs w:val="22"/>
          </w:rPr>
          <w:t>http://mixedmethodsappraisaltoolpublic.pbworks.com/w/file/fetch/127916259/MMAT_2018_criteria-manual_2018-08-01_ENG.pdf</w:t>
        </w:r>
      </w:hyperlink>
    </w:p>
    <w:p w14:paraId="10886B59" w14:textId="77777777" w:rsidR="007D4146" w:rsidRDefault="007D4146" w:rsidP="007D4146">
      <w:pPr>
        <w:pStyle w:val="Default"/>
        <w:spacing w:before="0" w:line="480" w:lineRule="auto"/>
        <w:jc w:val="center"/>
        <w:rPr>
          <w:rFonts w:ascii="Calibri" w:eastAsia="Calibri" w:hAnsi="Calibri" w:cs="Calibri"/>
          <w:b/>
          <w:bCs/>
          <w:sz w:val="22"/>
          <w:szCs w:val="22"/>
        </w:rPr>
      </w:pPr>
    </w:p>
    <w:p w14:paraId="5C8AFB3D" w14:textId="77777777" w:rsidR="007D4146" w:rsidRPr="004F1CAB" w:rsidRDefault="007D4146" w:rsidP="007D4146">
      <w:pPr>
        <w:pStyle w:val="Default"/>
        <w:spacing w:before="0" w:line="480" w:lineRule="auto"/>
        <w:rPr>
          <w:rFonts w:ascii="Calibri" w:eastAsia="Calibri" w:hAnsi="Calibri" w:cs="Calibri"/>
        </w:rPr>
      </w:pPr>
    </w:p>
    <w:p w14:paraId="5AD53F0E" w14:textId="77777777" w:rsidR="007D4146" w:rsidRPr="004F1CAB" w:rsidRDefault="007D4146" w:rsidP="007D4146">
      <w:pPr>
        <w:pStyle w:val="Default"/>
        <w:spacing w:before="0" w:line="480" w:lineRule="auto"/>
        <w:rPr>
          <w:rFonts w:ascii="Calibri" w:eastAsia="Calibri" w:hAnsi="Calibri" w:cs="Calibri"/>
        </w:rPr>
      </w:pPr>
      <w:r w:rsidRPr="004F1CAB">
        <w:rPr>
          <w:rFonts w:ascii="Calibri" w:eastAsia="Calibri" w:hAnsi="Calibri" w:cs="Calibri"/>
        </w:rPr>
        <w:t>The PRISMA checklist and Cochrane bias assessment tool for this CLR ha</w:t>
      </w:r>
      <w:r>
        <w:rPr>
          <w:rFonts w:ascii="Calibri" w:eastAsia="Calibri" w:hAnsi="Calibri" w:cs="Calibri"/>
        </w:rPr>
        <w:t>ve</w:t>
      </w:r>
      <w:r w:rsidRPr="004F1CAB">
        <w:rPr>
          <w:rFonts w:ascii="Calibri" w:eastAsia="Calibri" w:hAnsi="Calibri" w:cs="Calibri"/>
        </w:rPr>
        <w:t xml:space="preserve"> been provided in the supporting documents.</w:t>
      </w:r>
    </w:p>
    <w:p w14:paraId="41E0EB81" w14:textId="77777777" w:rsidR="007D4146" w:rsidRDefault="007D4146" w:rsidP="007D4146">
      <w:pPr>
        <w:pStyle w:val="Default"/>
        <w:spacing w:before="0" w:line="480" w:lineRule="auto"/>
        <w:rPr>
          <w:rFonts w:ascii="Calibri" w:eastAsia="Calibri" w:hAnsi="Calibri" w:cs="Calibri"/>
          <w:b/>
          <w:bCs/>
          <w:sz w:val="30"/>
          <w:szCs w:val="30"/>
        </w:rPr>
      </w:pPr>
    </w:p>
    <w:p w14:paraId="6CB79185" w14:textId="77777777" w:rsidR="007D4146" w:rsidRPr="000869E7" w:rsidRDefault="007D4146" w:rsidP="007D414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480" w:lineRule="auto"/>
        <w:jc w:val="center"/>
        <w:rPr>
          <w:rFonts w:ascii="Arial" w:hAnsi="Arial" w:cs="Arial"/>
          <w:b/>
          <w:bCs/>
          <w:sz w:val="28"/>
          <w:szCs w:val="28"/>
        </w:rPr>
      </w:pPr>
      <w:r w:rsidRPr="000869E7">
        <w:rPr>
          <w:rFonts w:ascii="Arial" w:hAnsi="Arial" w:cs="Arial"/>
          <w:b/>
          <w:bCs/>
          <w:sz w:val="28"/>
          <w:szCs w:val="28"/>
        </w:rPr>
        <w:lastRenderedPageBreak/>
        <w:t>Appendix - 3</w:t>
      </w:r>
    </w:p>
    <w:p w14:paraId="59569D77" w14:textId="77777777" w:rsidR="007D4146" w:rsidRPr="007C0C71" w:rsidRDefault="007D4146" w:rsidP="007D414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480" w:lineRule="auto"/>
        <w:jc w:val="center"/>
        <w:rPr>
          <w:rFonts w:ascii="Arial" w:eastAsia="Calibri" w:hAnsi="Arial" w:cs="Arial"/>
          <w:sz w:val="26"/>
          <w:szCs w:val="26"/>
        </w:rPr>
      </w:pPr>
      <w:r w:rsidRPr="007C0C71">
        <w:rPr>
          <w:rFonts w:ascii="Arial" w:hAnsi="Arial" w:cs="Arial"/>
          <w:sz w:val="26"/>
          <w:szCs w:val="26"/>
        </w:rPr>
        <w:t>Table-4 Strengths and weaknesses of the selected studies in the CLR-</w:t>
      </w:r>
    </w:p>
    <w:tbl>
      <w:tblPr>
        <w:tblW w:w="9638" w:type="dxa"/>
        <w:tblInd w:w="108" w:type="dxa"/>
        <w:tblBorders>
          <w:top w:val="single" w:sz="2" w:space="0" w:color="929292"/>
          <w:left w:val="single" w:sz="2" w:space="0" w:color="929292"/>
          <w:bottom w:val="single" w:sz="2" w:space="0" w:color="929292"/>
          <w:right w:val="single" w:sz="2" w:space="0" w:color="929292"/>
          <w:insideH w:val="single" w:sz="8" w:space="0" w:color="000000"/>
          <w:insideV w:val="single" w:sz="8" w:space="0" w:color="000000"/>
        </w:tblBorders>
        <w:tblLayout w:type="fixed"/>
        <w:tblLook w:val="04A0" w:firstRow="1" w:lastRow="0" w:firstColumn="1" w:lastColumn="0" w:noHBand="0" w:noVBand="1"/>
      </w:tblPr>
      <w:tblGrid>
        <w:gridCol w:w="1510"/>
        <w:gridCol w:w="1312"/>
        <w:gridCol w:w="1312"/>
        <w:gridCol w:w="1312"/>
        <w:gridCol w:w="2120"/>
        <w:gridCol w:w="2072"/>
      </w:tblGrid>
      <w:tr w:rsidR="007D4146" w14:paraId="6EC21E40" w14:textId="77777777" w:rsidTr="00A661B5">
        <w:trPr>
          <w:trHeight w:hRule="exact" w:val="1063"/>
          <w:tblHeader/>
        </w:trPr>
        <w:tc>
          <w:tcPr>
            <w:tcW w:w="1509" w:type="dxa"/>
            <w:tcBorders>
              <w:top w:val="single" w:sz="8" w:space="0" w:color="000000"/>
              <w:left w:val="single" w:sz="8" w:space="0" w:color="000000"/>
              <w:bottom w:val="single" w:sz="8" w:space="0" w:color="89847F"/>
              <w:right w:val="single" w:sz="2" w:space="0" w:color="5E5E5E"/>
            </w:tcBorders>
            <w:tcMar>
              <w:top w:w="80" w:type="dxa"/>
              <w:left w:w="80" w:type="dxa"/>
              <w:bottom w:w="80" w:type="dxa"/>
              <w:right w:w="80" w:type="dxa"/>
            </w:tcMar>
          </w:tcPr>
          <w:p w14:paraId="6AE3CBB3" w14:textId="77777777" w:rsidR="007D4146" w:rsidRDefault="007D4146" w:rsidP="00A661B5">
            <w:pPr>
              <w:pStyle w:val="TableStyle7"/>
              <w:spacing w:line="480" w:lineRule="auto"/>
            </w:pPr>
            <w:r>
              <w:rPr>
                <w:rFonts w:ascii="Calibri" w:hAnsi="Calibri"/>
              </w:rPr>
              <w:t>Name of the study</w:t>
            </w:r>
          </w:p>
        </w:tc>
        <w:tc>
          <w:tcPr>
            <w:tcW w:w="1312" w:type="dxa"/>
            <w:tcBorders>
              <w:top w:val="single" w:sz="8" w:space="0" w:color="000000"/>
              <w:left w:val="single" w:sz="2" w:space="0" w:color="5E5E5E"/>
              <w:bottom w:val="single" w:sz="8" w:space="0" w:color="89847F"/>
              <w:right w:val="single" w:sz="2" w:space="0" w:color="5E5E5E"/>
            </w:tcBorders>
            <w:tcMar>
              <w:top w:w="80" w:type="dxa"/>
              <w:left w:w="80" w:type="dxa"/>
              <w:bottom w:w="80" w:type="dxa"/>
              <w:right w:w="80" w:type="dxa"/>
            </w:tcMar>
          </w:tcPr>
          <w:p w14:paraId="400A7A54" w14:textId="77777777" w:rsidR="007D4146" w:rsidRDefault="007D4146" w:rsidP="00A661B5">
            <w:pPr>
              <w:pStyle w:val="TableStyle7"/>
              <w:spacing w:line="480" w:lineRule="auto"/>
            </w:pPr>
            <w:r>
              <w:rPr>
                <w:rFonts w:ascii="Calibri" w:hAnsi="Calibri"/>
              </w:rPr>
              <w:t>Year of Publication</w:t>
            </w:r>
          </w:p>
        </w:tc>
        <w:tc>
          <w:tcPr>
            <w:tcW w:w="1312" w:type="dxa"/>
            <w:tcBorders>
              <w:top w:val="single" w:sz="8" w:space="0" w:color="000000"/>
              <w:left w:val="single" w:sz="2" w:space="0" w:color="5E5E5E"/>
              <w:bottom w:val="single" w:sz="8" w:space="0" w:color="89847F"/>
              <w:right w:val="single" w:sz="2" w:space="0" w:color="5E5E5E"/>
            </w:tcBorders>
            <w:tcMar>
              <w:top w:w="80" w:type="dxa"/>
              <w:left w:w="80" w:type="dxa"/>
              <w:bottom w:w="80" w:type="dxa"/>
              <w:right w:w="80" w:type="dxa"/>
            </w:tcMar>
          </w:tcPr>
          <w:p w14:paraId="6D03BC5C" w14:textId="77777777" w:rsidR="007D4146" w:rsidRDefault="007D4146" w:rsidP="00A661B5">
            <w:pPr>
              <w:pStyle w:val="TableStyle7"/>
              <w:spacing w:line="480" w:lineRule="auto"/>
            </w:pPr>
            <w:r>
              <w:rPr>
                <w:rFonts w:ascii="Calibri" w:hAnsi="Calibri"/>
              </w:rPr>
              <w:t>Type of study</w:t>
            </w:r>
          </w:p>
        </w:tc>
        <w:tc>
          <w:tcPr>
            <w:tcW w:w="1312" w:type="dxa"/>
            <w:tcBorders>
              <w:top w:val="single" w:sz="8" w:space="0" w:color="000000"/>
              <w:left w:val="single" w:sz="2" w:space="0" w:color="5E5E5E"/>
              <w:bottom w:val="single" w:sz="8" w:space="0" w:color="89847F"/>
              <w:right w:val="single" w:sz="2" w:space="0" w:color="5E5E5E"/>
            </w:tcBorders>
            <w:tcMar>
              <w:top w:w="80" w:type="dxa"/>
              <w:left w:w="80" w:type="dxa"/>
              <w:bottom w:w="80" w:type="dxa"/>
              <w:right w:w="80" w:type="dxa"/>
            </w:tcMar>
          </w:tcPr>
          <w:p w14:paraId="435DF914" w14:textId="77777777" w:rsidR="007D4146" w:rsidRDefault="007D4146" w:rsidP="00A661B5">
            <w:pPr>
              <w:pStyle w:val="TableStyle7"/>
              <w:spacing w:line="480" w:lineRule="auto"/>
            </w:pPr>
            <w:r>
              <w:rPr>
                <w:rFonts w:ascii="Calibri" w:hAnsi="Calibri"/>
              </w:rPr>
              <w:t>Population</w:t>
            </w:r>
          </w:p>
        </w:tc>
        <w:tc>
          <w:tcPr>
            <w:tcW w:w="2119" w:type="dxa"/>
            <w:tcBorders>
              <w:top w:val="single" w:sz="8" w:space="0" w:color="000000"/>
              <w:left w:val="single" w:sz="2" w:space="0" w:color="5E5E5E"/>
              <w:bottom w:val="single" w:sz="8" w:space="0" w:color="89847F"/>
              <w:right w:val="single" w:sz="2" w:space="0" w:color="5E5E5E"/>
            </w:tcBorders>
            <w:tcMar>
              <w:top w:w="80" w:type="dxa"/>
              <w:left w:w="80" w:type="dxa"/>
              <w:bottom w:w="80" w:type="dxa"/>
              <w:right w:w="80" w:type="dxa"/>
            </w:tcMar>
          </w:tcPr>
          <w:p w14:paraId="07293E39" w14:textId="77777777" w:rsidR="007D4146" w:rsidRDefault="007D4146" w:rsidP="00A661B5">
            <w:pPr>
              <w:pStyle w:val="TableStyle7"/>
              <w:spacing w:line="480" w:lineRule="auto"/>
            </w:pPr>
            <w:r>
              <w:rPr>
                <w:rFonts w:ascii="Calibri" w:hAnsi="Calibri"/>
              </w:rPr>
              <w:t>Strengths of the study</w:t>
            </w:r>
          </w:p>
        </w:tc>
        <w:tc>
          <w:tcPr>
            <w:tcW w:w="2071" w:type="dxa"/>
            <w:tcBorders>
              <w:top w:val="single" w:sz="8" w:space="0" w:color="000000"/>
              <w:left w:val="single" w:sz="2" w:space="0" w:color="5E5E5E"/>
              <w:bottom w:val="single" w:sz="8" w:space="0" w:color="89847F"/>
              <w:right w:val="single" w:sz="8" w:space="0" w:color="000000"/>
            </w:tcBorders>
            <w:tcMar>
              <w:top w:w="80" w:type="dxa"/>
              <w:left w:w="80" w:type="dxa"/>
              <w:bottom w:w="80" w:type="dxa"/>
              <w:right w:w="80" w:type="dxa"/>
            </w:tcMar>
          </w:tcPr>
          <w:p w14:paraId="5444CEE6" w14:textId="77777777" w:rsidR="007D4146" w:rsidRDefault="007D4146" w:rsidP="00A661B5">
            <w:pPr>
              <w:pStyle w:val="TableStyle7"/>
              <w:spacing w:line="480" w:lineRule="auto"/>
            </w:pPr>
            <w:r>
              <w:rPr>
                <w:rFonts w:ascii="Calibri" w:hAnsi="Calibri"/>
              </w:rPr>
              <w:t>Weaknesses of the study</w:t>
            </w:r>
          </w:p>
        </w:tc>
      </w:tr>
      <w:tr w:rsidR="007D4146" w14:paraId="745647B1" w14:textId="77777777" w:rsidTr="00A661B5">
        <w:trPr>
          <w:trHeight w:hRule="exact" w:val="11961"/>
        </w:trPr>
        <w:tc>
          <w:tcPr>
            <w:tcW w:w="1509" w:type="dxa"/>
            <w:tcBorders>
              <w:top w:val="single" w:sz="8" w:space="0" w:color="89847F"/>
              <w:left w:val="single" w:sz="8" w:space="0" w:color="000000"/>
              <w:bottom w:val="single" w:sz="2" w:space="0" w:color="929292"/>
              <w:right w:val="single" w:sz="6" w:space="0" w:color="89847F"/>
            </w:tcBorders>
            <w:tcMar>
              <w:top w:w="80" w:type="dxa"/>
              <w:left w:w="80" w:type="dxa"/>
              <w:bottom w:w="80" w:type="dxa"/>
              <w:right w:w="80" w:type="dxa"/>
            </w:tcMar>
          </w:tcPr>
          <w:p w14:paraId="280F6F25" w14:textId="77777777" w:rsidR="007D4146" w:rsidRDefault="007D4146" w:rsidP="00A661B5">
            <w:pPr>
              <w:pStyle w:val="TableStyle6"/>
              <w:tabs>
                <w:tab w:val="left" w:pos="920"/>
              </w:tabs>
              <w:spacing w:line="480" w:lineRule="auto"/>
            </w:pPr>
            <w:r>
              <w:rPr>
                <w:rFonts w:ascii="Helvetica Neue" w:hAnsi="Helvetica Neue"/>
              </w:rPr>
              <w:t>Comparative meta-analysis of antimicrobial resistance from different food sources</w:t>
            </w:r>
            <w:r>
              <w:rPr>
                <w:rFonts w:ascii="Helvetica Neue" w:hAnsi="Helvetica Neue"/>
              </w:rPr>
              <w:br/>
              <w:t>along with one health approach in the UK and Egypt.</w:t>
            </w:r>
          </w:p>
          <w:p w14:paraId="73279583" w14:textId="77777777" w:rsidR="007D4146" w:rsidRDefault="007D4146" w:rsidP="00A661B5">
            <w:pPr>
              <w:pStyle w:val="TableStyle6"/>
              <w:tabs>
                <w:tab w:val="left" w:pos="920"/>
              </w:tabs>
              <w:spacing w:line="480" w:lineRule="auto"/>
            </w:pPr>
          </w:p>
        </w:tc>
        <w:tc>
          <w:tcPr>
            <w:tcW w:w="1312" w:type="dxa"/>
            <w:tcBorders>
              <w:top w:val="single" w:sz="8" w:space="0" w:color="89847F"/>
              <w:left w:val="single" w:sz="6" w:space="0" w:color="89847F"/>
              <w:bottom w:val="single" w:sz="2" w:space="0" w:color="929292"/>
              <w:right w:val="single" w:sz="2" w:space="0" w:color="929292"/>
            </w:tcBorders>
            <w:tcMar>
              <w:top w:w="80" w:type="dxa"/>
              <w:left w:w="80" w:type="dxa"/>
              <w:bottom w:w="80" w:type="dxa"/>
              <w:right w:w="80" w:type="dxa"/>
            </w:tcMar>
          </w:tcPr>
          <w:p w14:paraId="509FAFD6" w14:textId="77777777" w:rsidR="007D4146" w:rsidRDefault="007D4146" w:rsidP="00A661B5">
            <w:pPr>
              <w:pStyle w:val="TableStyle2"/>
              <w:spacing w:line="480" w:lineRule="auto"/>
              <w:jc w:val="center"/>
            </w:pPr>
            <w:r>
              <w:t>2023</w:t>
            </w:r>
          </w:p>
        </w:tc>
        <w:tc>
          <w:tcPr>
            <w:tcW w:w="1312" w:type="dxa"/>
            <w:tcBorders>
              <w:top w:val="single" w:sz="8" w:space="0" w:color="89847F"/>
              <w:left w:val="single" w:sz="2" w:space="0" w:color="929292"/>
              <w:bottom w:val="single" w:sz="2" w:space="0" w:color="929292"/>
              <w:right w:val="single" w:sz="2" w:space="0" w:color="929292"/>
            </w:tcBorders>
            <w:tcMar>
              <w:top w:w="80" w:type="dxa"/>
              <w:left w:w="80" w:type="dxa"/>
              <w:bottom w:w="80" w:type="dxa"/>
              <w:right w:w="80" w:type="dxa"/>
            </w:tcMar>
          </w:tcPr>
          <w:p w14:paraId="1929784A" w14:textId="77777777" w:rsidR="007D4146" w:rsidRDefault="007D4146" w:rsidP="00A661B5">
            <w:pPr>
              <w:pStyle w:val="TableStyle2"/>
              <w:spacing w:line="480" w:lineRule="auto"/>
              <w:jc w:val="center"/>
            </w:pPr>
            <w:r>
              <w:t>Meta analysis</w:t>
            </w:r>
          </w:p>
        </w:tc>
        <w:tc>
          <w:tcPr>
            <w:tcW w:w="1312" w:type="dxa"/>
            <w:tcBorders>
              <w:top w:val="single" w:sz="8" w:space="0" w:color="89847F"/>
              <w:left w:val="single" w:sz="2" w:space="0" w:color="929292"/>
              <w:bottom w:val="single" w:sz="2" w:space="0" w:color="929292"/>
              <w:right w:val="single" w:sz="2" w:space="0" w:color="929292"/>
            </w:tcBorders>
            <w:tcMar>
              <w:top w:w="80" w:type="dxa"/>
              <w:left w:w="80" w:type="dxa"/>
              <w:bottom w:w="80" w:type="dxa"/>
              <w:right w:w="80" w:type="dxa"/>
            </w:tcMar>
          </w:tcPr>
          <w:p w14:paraId="66F876A9" w14:textId="77777777" w:rsidR="007D4146" w:rsidRDefault="007D4146" w:rsidP="00A661B5">
            <w:pPr>
              <w:pStyle w:val="TableStyle2"/>
              <w:spacing w:line="480" w:lineRule="auto"/>
            </w:pPr>
            <w:r>
              <w:t>United Kingdom and Egypt</w:t>
            </w:r>
          </w:p>
        </w:tc>
        <w:tc>
          <w:tcPr>
            <w:tcW w:w="2119" w:type="dxa"/>
            <w:tcBorders>
              <w:top w:val="single" w:sz="8" w:space="0" w:color="89847F"/>
              <w:left w:val="single" w:sz="2" w:space="0" w:color="929292"/>
              <w:bottom w:val="single" w:sz="2" w:space="0" w:color="929292"/>
              <w:right w:val="single" w:sz="2" w:space="0" w:color="929292"/>
            </w:tcBorders>
            <w:tcMar>
              <w:top w:w="80" w:type="dxa"/>
              <w:left w:w="80" w:type="dxa"/>
              <w:bottom w:w="80" w:type="dxa"/>
              <w:right w:w="80" w:type="dxa"/>
            </w:tcMar>
          </w:tcPr>
          <w:p w14:paraId="64ED320B" w14:textId="77777777" w:rsidR="007D4146" w:rsidRDefault="007D4146" w:rsidP="00A661B5">
            <w:pPr>
              <w:pStyle w:val="Default"/>
              <w:spacing w:before="0" w:line="480" w:lineRule="auto"/>
            </w:pPr>
            <w:r>
              <w:rPr>
                <w:sz w:val="18"/>
                <w:szCs w:val="18"/>
              </w:rPr>
              <w:t>The study's strength lies in its comprehensive approach, analysing a significant dataset and its use of the One Health framework, which is increasingly recognised as vital in addressing AMR. It resulted in the presence of AMR against tetracycline and β-lactam antibiotics.</w:t>
            </w:r>
          </w:p>
          <w:p w14:paraId="7AA5CB7A" w14:textId="77777777" w:rsidR="007D4146" w:rsidRDefault="007D4146" w:rsidP="00A661B5">
            <w:pPr>
              <w:pStyle w:val="Default"/>
              <w:spacing w:before="0" w:line="480" w:lineRule="auto"/>
            </w:pPr>
            <w:r>
              <w:rPr>
                <w:sz w:val="18"/>
                <w:szCs w:val="18"/>
              </w:rPr>
              <w:t>The study identifies chicken as the most prevalent source of AMR bacteria. The paper concludes with a call for urgent global action to combat AMR. The study's findings suggest that both countries need to improve their AMR surveillance and stewardship programs. For Egypt, there is a call for stricter regulations and better enforcement, while the UK needs to continue its efforts in monitoring and reducing antibiotic use in agriculture.</w:t>
            </w:r>
          </w:p>
          <w:p w14:paraId="457BEE59" w14:textId="77777777" w:rsidR="007D4146" w:rsidRDefault="007D4146" w:rsidP="00A661B5">
            <w:pPr>
              <w:pStyle w:val="Default"/>
              <w:spacing w:before="0" w:line="480" w:lineRule="auto"/>
            </w:pPr>
          </w:p>
        </w:tc>
        <w:tc>
          <w:tcPr>
            <w:tcW w:w="2071" w:type="dxa"/>
            <w:tcBorders>
              <w:top w:val="single" w:sz="8" w:space="0" w:color="89847F"/>
              <w:left w:val="single" w:sz="2" w:space="0" w:color="929292"/>
              <w:bottom w:val="single" w:sz="2" w:space="0" w:color="929292"/>
              <w:right w:val="single" w:sz="8" w:space="0" w:color="000000"/>
            </w:tcBorders>
            <w:tcMar>
              <w:top w:w="80" w:type="dxa"/>
              <w:left w:w="80" w:type="dxa"/>
              <w:bottom w:w="80" w:type="dxa"/>
              <w:right w:w="80" w:type="dxa"/>
            </w:tcMar>
          </w:tcPr>
          <w:p w14:paraId="3E739CE1" w14:textId="77777777" w:rsidR="007D4146" w:rsidRDefault="007D4146" w:rsidP="00A661B5">
            <w:pPr>
              <w:pStyle w:val="Default"/>
              <w:spacing w:before="0" w:line="480" w:lineRule="auto"/>
            </w:pPr>
            <w:r>
              <w:rPr>
                <w:sz w:val="18"/>
                <w:szCs w:val="18"/>
              </w:rPr>
              <w:t>The study could have benefited from a more detailed analysis of the socio-economic factors influencing AMR in both countries. Additionally, the paper could have explored the effectiveness of specific interventions in reducing AMR, particularly in the context of the One Health approach in more detail.</w:t>
            </w:r>
          </w:p>
        </w:tc>
      </w:tr>
      <w:tr w:rsidR="007D4146" w14:paraId="6C4A84B0" w14:textId="77777777" w:rsidTr="00A661B5">
        <w:trPr>
          <w:trHeight w:hRule="exact" w:val="12904"/>
        </w:trPr>
        <w:tc>
          <w:tcPr>
            <w:tcW w:w="1509" w:type="dxa"/>
            <w:tcBorders>
              <w:top w:val="single" w:sz="2" w:space="0" w:color="929292"/>
              <w:left w:val="single" w:sz="8" w:space="0" w:color="000000"/>
              <w:bottom w:val="single" w:sz="2" w:space="0" w:color="929292"/>
              <w:right w:val="single" w:sz="6" w:space="0" w:color="89847F"/>
            </w:tcBorders>
            <w:tcMar>
              <w:top w:w="80" w:type="dxa"/>
              <w:left w:w="80" w:type="dxa"/>
              <w:bottom w:w="80" w:type="dxa"/>
              <w:right w:w="80" w:type="dxa"/>
            </w:tcMar>
          </w:tcPr>
          <w:p w14:paraId="2D0936FB" w14:textId="77777777" w:rsidR="007D4146" w:rsidRDefault="007D4146" w:rsidP="00A661B5">
            <w:pPr>
              <w:pStyle w:val="Default"/>
              <w:spacing w:before="0" w:after="240" w:line="480" w:lineRule="auto"/>
              <w:rPr>
                <w:sz w:val="20"/>
                <w:szCs w:val="20"/>
              </w:rPr>
            </w:pPr>
            <w:r>
              <w:rPr>
                <w:sz w:val="20"/>
                <w:szCs w:val="20"/>
              </w:rPr>
              <w:lastRenderedPageBreak/>
              <w:t xml:space="preserve">A One Health Study of the Genetic Relatedness of </w:t>
            </w:r>
            <w:r>
              <w:rPr>
                <w:i/>
                <w:iCs/>
                <w:sz w:val="20"/>
                <w:szCs w:val="20"/>
                <w:lang w:val="it-IT"/>
              </w:rPr>
              <w:t xml:space="preserve">Klebsiella pneumoniae </w:t>
            </w:r>
            <w:r>
              <w:rPr>
                <w:sz w:val="20"/>
                <w:szCs w:val="20"/>
              </w:rPr>
              <w:t>and Their Mobile Elements in the East of England</w:t>
            </w:r>
          </w:p>
          <w:p w14:paraId="558F0164" w14:textId="77777777" w:rsidR="007D4146" w:rsidRDefault="007D4146" w:rsidP="00A661B5">
            <w:pPr>
              <w:pStyle w:val="Default"/>
              <w:spacing w:before="0" w:after="240" w:line="480" w:lineRule="auto"/>
            </w:pPr>
          </w:p>
        </w:tc>
        <w:tc>
          <w:tcPr>
            <w:tcW w:w="1312" w:type="dxa"/>
            <w:tcBorders>
              <w:top w:val="single" w:sz="2" w:space="0" w:color="929292"/>
              <w:left w:val="single" w:sz="6" w:space="0" w:color="89847F"/>
              <w:bottom w:val="single" w:sz="2" w:space="0" w:color="929292"/>
              <w:right w:val="single" w:sz="2" w:space="0" w:color="929292"/>
            </w:tcBorders>
            <w:shd w:val="clear" w:color="auto" w:fill="FEFFFE"/>
            <w:tcMar>
              <w:top w:w="80" w:type="dxa"/>
              <w:left w:w="80" w:type="dxa"/>
              <w:bottom w:w="80" w:type="dxa"/>
              <w:right w:w="80" w:type="dxa"/>
            </w:tcMar>
          </w:tcPr>
          <w:p w14:paraId="6A353ABC" w14:textId="77777777" w:rsidR="007D4146" w:rsidRDefault="007D4146" w:rsidP="00A661B5">
            <w:pPr>
              <w:pStyle w:val="TableStyle2"/>
              <w:spacing w:line="480" w:lineRule="auto"/>
              <w:jc w:val="center"/>
            </w:pPr>
            <w:r>
              <w:t>2019</w:t>
            </w:r>
          </w:p>
        </w:tc>
        <w:tc>
          <w:tcPr>
            <w:tcW w:w="1312"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171B1D3C" w14:textId="77777777" w:rsidR="007D4146" w:rsidRDefault="007D4146" w:rsidP="00A661B5">
            <w:pPr>
              <w:pStyle w:val="TableStyle2"/>
              <w:spacing w:line="480" w:lineRule="auto"/>
            </w:pPr>
            <w:r>
              <w:t>Cross sectional study</w:t>
            </w:r>
          </w:p>
        </w:tc>
        <w:tc>
          <w:tcPr>
            <w:tcW w:w="1312"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063D3F99" w14:textId="77777777" w:rsidR="007D4146" w:rsidRDefault="007D4146" w:rsidP="00A661B5">
            <w:pPr>
              <w:pStyle w:val="TableStyle2"/>
              <w:spacing w:line="480" w:lineRule="auto"/>
            </w:pPr>
            <w:r>
              <w:rPr>
                <w:rFonts w:eastAsia="Arial Unicode MS" w:cs="Arial Unicode MS"/>
              </w:rPr>
              <w:t>England (UK)</w:t>
            </w:r>
          </w:p>
        </w:tc>
        <w:tc>
          <w:tcPr>
            <w:tcW w:w="2119"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76BD77EB" w14:textId="77777777" w:rsidR="007D4146" w:rsidRDefault="007D4146" w:rsidP="00A661B5">
            <w:pPr>
              <w:pStyle w:val="Default"/>
              <w:spacing w:before="0" w:line="480" w:lineRule="auto"/>
              <w:rPr>
                <w:sz w:val="18"/>
                <w:szCs w:val="18"/>
              </w:rPr>
            </w:pPr>
            <w:r>
              <w:rPr>
                <w:b/>
                <w:bCs/>
                <w:sz w:val="18"/>
                <w:szCs w:val="18"/>
              </w:rPr>
              <w:t>Comprehensive Sampling</w:t>
            </w:r>
            <w:r>
              <w:rPr>
                <w:sz w:val="18"/>
                <w:szCs w:val="18"/>
              </w:rPr>
              <w:t>: The study's strength lies in its comprehensive sampling across multiple reservoirs, including human, environmental, and animal sources, which provides a holistic view.</w:t>
            </w:r>
          </w:p>
          <w:p w14:paraId="5DAE5A12" w14:textId="77777777" w:rsidR="007D4146" w:rsidRDefault="007D4146" w:rsidP="00A661B5">
            <w:pPr>
              <w:pStyle w:val="Default"/>
              <w:spacing w:before="0" w:line="480" w:lineRule="auto"/>
              <w:rPr>
                <w:sz w:val="18"/>
                <w:szCs w:val="18"/>
              </w:rPr>
            </w:pPr>
            <w:r>
              <w:rPr>
                <w:b/>
                <w:bCs/>
                <w:sz w:val="18"/>
                <w:szCs w:val="18"/>
              </w:rPr>
              <w:t>Use of WGS</w:t>
            </w:r>
            <w:r>
              <w:rPr>
                <w:sz w:val="18"/>
                <w:szCs w:val="18"/>
              </w:rPr>
              <w:t>: WGS is a robust tool for identifying genetic similarities and differences, providing high-resolution data on the relatedness of bacterial isolates.</w:t>
            </w:r>
          </w:p>
          <w:p w14:paraId="04C24D5E" w14:textId="77777777" w:rsidR="007D4146" w:rsidRDefault="007D4146" w:rsidP="00A661B5">
            <w:pPr>
              <w:pStyle w:val="Default"/>
              <w:spacing w:before="0" w:line="480" w:lineRule="auto"/>
              <w:rPr>
                <w:sz w:val="18"/>
                <w:szCs w:val="18"/>
              </w:rPr>
            </w:pPr>
            <w:r>
              <w:rPr>
                <w:b/>
                <w:bCs/>
                <w:sz w:val="18"/>
                <w:szCs w:val="18"/>
              </w:rPr>
              <w:t>Clear Presentation of Results</w:t>
            </w:r>
            <w:r>
              <w:rPr>
                <w:sz w:val="18"/>
                <w:szCs w:val="18"/>
              </w:rPr>
              <w:t>: The results were presented clearly, with appropriate use of genomic analysis to support conclusions to support c</w:t>
            </w:r>
            <w:r>
              <w:rPr>
                <w:sz w:val="18"/>
                <w:szCs w:val="18"/>
                <w:lang w:val="it-IT"/>
              </w:rPr>
              <w:t>conclusions.</w:t>
            </w:r>
          </w:p>
          <w:p w14:paraId="2D1EC70C" w14:textId="77777777" w:rsidR="007D4146" w:rsidRDefault="007D4146" w:rsidP="00A661B5">
            <w:pPr>
              <w:pStyle w:val="Default"/>
              <w:spacing w:before="0" w:line="480" w:lineRule="auto"/>
            </w:pPr>
            <w:r>
              <w:rPr>
                <w:b/>
                <w:bCs/>
                <w:sz w:val="18"/>
                <w:szCs w:val="18"/>
              </w:rPr>
              <w:t>Identification of Contamination Events</w:t>
            </w:r>
            <w:r>
              <w:rPr>
                <w:sz w:val="18"/>
                <w:szCs w:val="18"/>
              </w:rPr>
              <w:t>: The study successfully identified environmental contamination events in the hospital, highlighting areas for infection control.</w:t>
            </w:r>
          </w:p>
        </w:tc>
        <w:tc>
          <w:tcPr>
            <w:tcW w:w="2071" w:type="dxa"/>
            <w:tcBorders>
              <w:top w:val="single" w:sz="2" w:space="0" w:color="929292"/>
              <w:left w:val="single" w:sz="2" w:space="0" w:color="929292"/>
              <w:bottom w:val="single" w:sz="2" w:space="0" w:color="929292"/>
              <w:right w:val="single" w:sz="8" w:space="0" w:color="000000"/>
            </w:tcBorders>
            <w:shd w:val="clear" w:color="auto" w:fill="FEFFFE"/>
            <w:tcMar>
              <w:top w:w="80" w:type="dxa"/>
              <w:left w:w="80" w:type="dxa"/>
              <w:bottom w:w="80" w:type="dxa"/>
              <w:right w:w="80" w:type="dxa"/>
            </w:tcMar>
          </w:tcPr>
          <w:p w14:paraId="10C6DE2B" w14:textId="77777777" w:rsidR="007D4146" w:rsidRDefault="007D4146" w:rsidP="00A661B5">
            <w:pPr>
              <w:pStyle w:val="Default"/>
              <w:spacing w:before="0" w:line="480" w:lineRule="auto"/>
              <w:rPr>
                <w:sz w:val="18"/>
                <w:szCs w:val="18"/>
              </w:rPr>
            </w:pPr>
            <w:r>
              <w:rPr>
                <w:b/>
                <w:bCs/>
                <w:sz w:val="18"/>
                <w:szCs w:val="18"/>
              </w:rPr>
              <w:t>Limited Temporal Scope</w:t>
            </w:r>
            <w:r>
              <w:rPr>
                <w:sz w:val="18"/>
                <w:szCs w:val="18"/>
              </w:rPr>
              <w:t>: The study was conducted over a relatively short period, which might not capture long-term trends or rare transmission events.</w:t>
            </w:r>
          </w:p>
          <w:p w14:paraId="3845E40C" w14:textId="77777777" w:rsidR="007D4146" w:rsidRDefault="007D4146" w:rsidP="00A661B5">
            <w:pPr>
              <w:pStyle w:val="Default"/>
              <w:spacing w:before="0" w:line="480" w:lineRule="auto"/>
            </w:pPr>
            <w:r>
              <w:rPr>
                <w:b/>
                <w:bCs/>
                <w:sz w:val="18"/>
                <w:szCs w:val="18"/>
              </w:rPr>
              <w:t>Potential Bias in Sample Collection</w:t>
            </w:r>
            <w:r>
              <w:rPr>
                <w:sz w:val="18"/>
                <w:szCs w:val="18"/>
              </w:rPr>
              <w:t xml:space="preserve">: The study might have selection bias, as it focused on specific hospital wards and may not represent all potential reservoirs of </w:t>
            </w:r>
            <w:r>
              <w:rPr>
                <w:i/>
                <w:iCs/>
                <w:sz w:val="18"/>
                <w:szCs w:val="18"/>
                <w:lang w:val="it-IT"/>
              </w:rPr>
              <w:t>K. pneumoniae</w:t>
            </w:r>
            <w:r>
              <w:rPr>
                <w:sz w:val="18"/>
                <w:szCs w:val="18"/>
              </w:rPr>
              <w:t>.</w:t>
            </w:r>
          </w:p>
        </w:tc>
      </w:tr>
      <w:tr w:rsidR="007D4146" w14:paraId="7460856C" w14:textId="77777777" w:rsidTr="00A661B5">
        <w:trPr>
          <w:trHeight w:hRule="exact" w:val="13187"/>
        </w:trPr>
        <w:tc>
          <w:tcPr>
            <w:tcW w:w="1509" w:type="dxa"/>
            <w:tcBorders>
              <w:top w:val="single" w:sz="2" w:space="0" w:color="929292"/>
              <w:left w:val="single" w:sz="8" w:space="0" w:color="000000"/>
              <w:bottom w:val="single" w:sz="2" w:space="0" w:color="929292"/>
              <w:right w:val="single" w:sz="6" w:space="0" w:color="89847F"/>
            </w:tcBorders>
            <w:tcMar>
              <w:top w:w="80" w:type="dxa"/>
              <w:left w:w="80" w:type="dxa"/>
              <w:bottom w:w="80" w:type="dxa"/>
              <w:right w:w="80" w:type="dxa"/>
            </w:tcMar>
          </w:tcPr>
          <w:p w14:paraId="01D13619" w14:textId="77777777" w:rsidR="007D4146" w:rsidRDefault="007D4146" w:rsidP="00A661B5">
            <w:pPr>
              <w:pStyle w:val="Default"/>
              <w:spacing w:before="0" w:after="266" w:line="480" w:lineRule="auto"/>
            </w:pPr>
            <w:r>
              <w:rPr>
                <w:color w:val="212121"/>
                <w:sz w:val="20"/>
                <w:szCs w:val="20"/>
              </w:rPr>
              <w:lastRenderedPageBreak/>
              <w:t>Antibiotic antagonist: the curious career of René Dubos</w:t>
            </w:r>
          </w:p>
        </w:tc>
        <w:tc>
          <w:tcPr>
            <w:tcW w:w="1312" w:type="dxa"/>
            <w:tcBorders>
              <w:top w:val="single" w:sz="2" w:space="0" w:color="929292"/>
              <w:left w:val="single" w:sz="6" w:space="0" w:color="89847F"/>
              <w:bottom w:val="single" w:sz="2" w:space="0" w:color="929292"/>
              <w:right w:val="single" w:sz="2" w:space="0" w:color="929292"/>
            </w:tcBorders>
            <w:tcMar>
              <w:top w:w="80" w:type="dxa"/>
              <w:left w:w="80" w:type="dxa"/>
              <w:bottom w:w="80" w:type="dxa"/>
              <w:right w:w="80" w:type="dxa"/>
            </w:tcMar>
          </w:tcPr>
          <w:p w14:paraId="52150EC2" w14:textId="77777777" w:rsidR="007D4146" w:rsidRDefault="007D4146" w:rsidP="00A661B5">
            <w:pPr>
              <w:pStyle w:val="TableStyle2"/>
              <w:spacing w:line="480" w:lineRule="auto"/>
              <w:jc w:val="center"/>
            </w:pPr>
            <w:r>
              <w:t>2016</w:t>
            </w:r>
          </w:p>
        </w:tc>
        <w:tc>
          <w:tcPr>
            <w:tcW w:w="1312" w:type="dxa"/>
            <w:tcBorders>
              <w:top w:val="single" w:sz="2" w:space="0" w:color="929292"/>
              <w:left w:val="single" w:sz="2" w:space="0" w:color="929292"/>
              <w:bottom w:val="single" w:sz="2" w:space="0" w:color="929292"/>
              <w:right w:val="single" w:sz="2" w:space="0" w:color="929292"/>
            </w:tcBorders>
            <w:tcMar>
              <w:top w:w="80" w:type="dxa"/>
              <w:left w:w="80" w:type="dxa"/>
              <w:bottom w:w="80" w:type="dxa"/>
              <w:right w:w="80" w:type="dxa"/>
            </w:tcMar>
          </w:tcPr>
          <w:p w14:paraId="0CE412BB" w14:textId="77777777" w:rsidR="007D4146" w:rsidRDefault="007D4146" w:rsidP="00A661B5">
            <w:pPr>
              <w:pStyle w:val="TableStyle2"/>
              <w:spacing w:line="480" w:lineRule="auto"/>
            </w:pPr>
            <w:r>
              <w:t>Systematic review</w:t>
            </w:r>
          </w:p>
        </w:tc>
        <w:tc>
          <w:tcPr>
            <w:tcW w:w="1312" w:type="dxa"/>
            <w:tcBorders>
              <w:top w:val="single" w:sz="2" w:space="0" w:color="929292"/>
              <w:left w:val="single" w:sz="2" w:space="0" w:color="929292"/>
              <w:bottom w:val="single" w:sz="2" w:space="0" w:color="929292"/>
              <w:right w:val="single" w:sz="2" w:space="0" w:color="929292"/>
            </w:tcBorders>
            <w:tcMar>
              <w:top w:w="80" w:type="dxa"/>
              <w:left w:w="80" w:type="dxa"/>
              <w:bottom w:w="80" w:type="dxa"/>
              <w:right w:w="80" w:type="dxa"/>
            </w:tcMar>
          </w:tcPr>
          <w:p w14:paraId="24AF49C8" w14:textId="77777777" w:rsidR="007D4146" w:rsidRDefault="007D4146" w:rsidP="00A661B5">
            <w:pPr>
              <w:pStyle w:val="TableStyle2"/>
              <w:spacing w:line="480" w:lineRule="auto"/>
            </w:pPr>
            <w:r>
              <w:t>United Kingdom</w:t>
            </w:r>
          </w:p>
        </w:tc>
        <w:tc>
          <w:tcPr>
            <w:tcW w:w="2119" w:type="dxa"/>
            <w:tcBorders>
              <w:top w:val="single" w:sz="2" w:space="0" w:color="929292"/>
              <w:left w:val="single" w:sz="2" w:space="0" w:color="929292"/>
              <w:bottom w:val="single" w:sz="2" w:space="0" w:color="929292"/>
              <w:right w:val="single" w:sz="2" w:space="0" w:color="929292"/>
            </w:tcBorders>
            <w:tcMar>
              <w:top w:w="80" w:type="dxa"/>
              <w:left w:w="80" w:type="dxa"/>
              <w:bottom w:w="80" w:type="dxa"/>
              <w:right w:w="80" w:type="dxa"/>
            </w:tcMar>
          </w:tcPr>
          <w:p w14:paraId="73AE39D2" w14:textId="77777777" w:rsidR="007D4146" w:rsidRDefault="007D4146" w:rsidP="00A661B5">
            <w:pPr>
              <w:pStyle w:val="Default"/>
              <w:spacing w:before="0" w:after="240" w:line="480" w:lineRule="auto"/>
              <w:rPr>
                <w:rFonts w:ascii="Calibri" w:eastAsia="Calibri" w:hAnsi="Calibri" w:cs="Calibri"/>
                <w:sz w:val="17"/>
                <w:szCs w:val="17"/>
              </w:rPr>
            </w:pPr>
            <w:r>
              <w:rPr>
                <w:rFonts w:ascii="Calibri" w:hAnsi="Calibri"/>
                <w:b/>
                <w:bCs/>
                <w:sz w:val="17"/>
                <w:szCs w:val="17"/>
              </w:rPr>
              <w:t>Historical Contextualization</w:t>
            </w:r>
            <w:r>
              <w:rPr>
                <w:rFonts w:ascii="Calibri" w:hAnsi="Calibri"/>
                <w:sz w:val="17"/>
                <w:szCs w:val="17"/>
              </w:rPr>
              <w:t>: The article excels in providing a detailed historical context, tracing the evolution of antibiotics from the discovery of sulfa drugs to the later developments in the field. By highlighting Dubos</w:t>
            </w:r>
            <w:r>
              <w:rPr>
                <w:rFonts w:ascii="Calibri" w:hAnsi="Calibri"/>
                <w:sz w:val="17"/>
                <w:szCs w:val="17"/>
                <w:rtl/>
              </w:rPr>
              <w:t>’</w:t>
            </w:r>
            <w:r>
              <w:rPr>
                <w:rFonts w:ascii="Calibri" w:hAnsi="Calibri"/>
                <w:sz w:val="17"/>
                <w:szCs w:val="17"/>
              </w:rPr>
              <w:t>s work on gramicidin, the author sheds light on a crucial yet often overlooked topic.</w:t>
            </w:r>
          </w:p>
          <w:p w14:paraId="7DED2805" w14:textId="77777777" w:rsidR="007D4146" w:rsidRDefault="007D4146" w:rsidP="00A661B5">
            <w:pPr>
              <w:pStyle w:val="Default"/>
              <w:spacing w:before="0" w:after="240" w:line="480" w:lineRule="auto"/>
              <w:rPr>
                <w:rFonts w:ascii="Calibri" w:eastAsia="Calibri" w:hAnsi="Calibri" w:cs="Calibri"/>
                <w:sz w:val="17"/>
                <w:szCs w:val="17"/>
              </w:rPr>
            </w:pPr>
            <w:r>
              <w:rPr>
                <w:rFonts w:ascii="Calibri" w:hAnsi="Calibri"/>
                <w:b/>
                <w:bCs/>
                <w:sz w:val="17"/>
                <w:szCs w:val="17"/>
              </w:rPr>
              <w:t>Ecological Perspective</w:t>
            </w:r>
            <w:r>
              <w:rPr>
                <w:rFonts w:ascii="Calibri" w:hAnsi="Calibri"/>
                <w:sz w:val="17"/>
                <w:szCs w:val="17"/>
              </w:rPr>
              <w:t>: Honigsbaum effectively underscores the significance of Dubos</w:t>
            </w:r>
            <w:r>
              <w:rPr>
                <w:rFonts w:ascii="Calibri" w:hAnsi="Calibri"/>
                <w:sz w:val="17"/>
                <w:szCs w:val="17"/>
                <w:rtl/>
              </w:rPr>
              <w:t>’</w:t>
            </w:r>
            <w:r>
              <w:rPr>
                <w:rFonts w:ascii="Calibri" w:hAnsi="Calibri"/>
                <w:sz w:val="17"/>
                <w:szCs w:val="17"/>
              </w:rPr>
              <w:t>s ecological approach to microbiology. Dubos</w:t>
            </w:r>
            <w:r>
              <w:rPr>
                <w:rFonts w:ascii="Calibri" w:hAnsi="Calibri"/>
                <w:sz w:val="17"/>
                <w:szCs w:val="17"/>
                <w:rtl/>
              </w:rPr>
              <w:t>’</w:t>
            </w:r>
            <w:r>
              <w:rPr>
                <w:rFonts w:ascii="Calibri" w:hAnsi="Calibri"/>
                <w:sz w:val="17"/>
                <w:szCs w:val="17"/>
              </w:rPr>
              <w:t>s belief that microbial ecology could be harnessed to combat bacterial infections, and his foresight regarding the adaptive nature of bacteria, are presented as prescient insights that predated the modern understanding of antibiotic resistance.</w:t>
            </w:r>
          </w:p>
          <w:p w14:paraId="0E25360A" w14:textId="77777777" w:rsidR="007D4146" w:rsidRDefault="007D4146" w:rsidP="00A661B5">
            <w:pPr>
              <w:pStyle w:val="Default"/>
              <w:spacing w:before="0" w:after="240" w:line="480" w:lineRule="auto"/>
            </w:pPr>
            <w:r>
              <w:rPr>
                <w:rFonts w:ascii="Calibri" w:hAnsi="Calibri"/>
                <w:b/>
                <w:bCs/>
                <w:sz w:val="17"/>
                <w:szCs w:val="17"/>
              </w:rPr>
              <w:t>Critical Reflection</w:t>
            </w:r>
            <w:r>
              <w:rPr>
                <w:rFonts w:ascii="Calibri" w:hAnsi="Calibri"/>
                <w:sz w:val="17"/>
                <w:szCs w:val="17"/>
              </w:rPr>
              <w:t>: The article offers a critical reflection on the dominant narratives in the history of antibiotics. By presenting Dubos as a paradoxical figure—both a pioneer and a critic of antibiotics—the author challenges the simplistic narrative of antibiotics as a purely triumphant scientific achievement.</w:t>
            </w:r>
          </w:p>
        </w:tc>
        <w:tc>
          <w:tcPr>
            <w:tcW w:w="2071" w:type="dxa"/>
            <w:tcBorders>
              <w:top w:val="single" w:sz="2" w:space="0" w:color="929292"/>
              <w:left w:val="single" w:sz="2" w:space="0" w:color="929292"/>
              <w:bottom w:val="single" w:sz="2" w:space="0" w:color="929292"/>
              <w:right w:val="single" w:sz="8" w:space="0" w:color="000000"/>
            </w:tcBorders>
            <w:tcMar>
              <w:top w:w="80" w:type="dxa"/>
              <w:left w:w="80" w:type="dxa"/>
              <w:bottom w:w="80" w:type="dxa"/>
              <w:right w:w="80" w:type="dxa"/>
            </w:tcMar>
          </w:tcPr>
          <w:p w14:paraId="4496D89A" w14:textId="77777777" w:rsidR="007D4146" w:rsidRPr="003C16A0" w:rsidRDefault="007D4146" w:rsidP="00A661B5">
            <w:pPr>
              <w:pStyle w:val="Default"/>
              <w:spacing w:before="0" w:after="240" w:line="480" w:lineRule="auto"/>
              <w:rPr>
                <w:rFonts w:ascii="Calibri" w:eastAsia="Calibri" w:hAnsi="Calibri" w:cs="Calibri"/>
                <w:sz w:val="17"/>
                <w:szCs w:val="17"/>
              </w:rPr>
            </w:pPr>
            <w:r w:rsidRPr="003C16A0">
              <w:rPr>
                <w:rFonts w:ascii="Calibri" w:hAnsi="Calibri"/>
                <w:b/>
                <w:bCs/>
                <w:sz w:val="17"/>
                <w:szCs w:val="17"/>
              </w:rPr>
              <w:t>Limited Exploration of Broader Impact</w:t>
            </w:r>
            <w:r w:rsidRPr="003C16A0">
              <w:rPr>
                <w:rFonts w:ascii="Calibri" w:hAnsi="Calibri"/>
                <w:sz w:val="17"/>
                <w:szCs w:val="17"/>
              </w:rPr>
              <w:t>: While the article focuses on Dubos</w:t>
            </w:r>
            <w:r w:rsidRPr="003C16A0">
              <w:rPr>
                <w:rFonts w:ascii="Calibri" w:hAnsi="Calibri"/>
                <w:sz w:val="17"/>
                <w:szCs w:val="17"/>
                <w:rtl/>
              </w:rPr>
              <w:t>’</w:t>
            </w:r>
            <w:r w:rsidRPr="003C16A0">
              <w:rPr>
                <w:rFonts w:ascii="Calibri" w:hAnsi="Calibri"/>
                <w:sz w:val="17"/>
                <w:szCs w:val="17"/>
              </w:rPr>
              <w:t>s contributions and warnings, it could have delved deeper into the broader impact of his work on subsequent research in microbiology and public health. The article mentions Lederberg</w:t>
            </w:r>
            <w:r w:rsidRPr="003C16A0">
              <w:rPr>
                <w:rFonts w:ascii="Calibri" w:hAnsi="Calibri"/>
                <w:sz w:val="17"/>
                <w:szCs w:val="17"/>
                <w:rtl/>
              </w:rPr>
              <w:t>’</w:t>
            </w:r>
            <w:r w:rsidRPr="003C16A0">
              <w:rPr>
                <w:rFonts w:ascii="Calibri" w:hAnsi="Calibri"/>
                <w:sz w:val="17"/>
                <w:szCs w:val="17"/>
              </w:rPr>
              <w:t>s revival of Dubos</w:t>
            </w:r>
            <w:r w:rsidRPr="003C16A0">
              <w:rPr>
                <w:rFonts w:ascii="Calibri" w:hAnsi="Calibri"/>
                <w:sz w:val="17"/>
                <w:szCs w:val="17"/>
                <w:rtl/>
              </w:rPr>
              <w:t>’</w:t>
            </w:r>
            <w:r w:rsidRPr="003C16A0">
              <w:rPr>
                <w:rFonts w:ascii="Calibri" w:hAnsi="Calibri"/>
                <w:sz w:val="17"/>
                <w:szCs w:val="17"/>
              </w:rPr>
              <w:t>s warnings but does not explore how Dubos</w:t>
            </w:r>
            <w:r w:rsidRPr="003C16A0">
              <w:rPr>
                <w:rFonts w:ascii="Calibri" w:hAnsi="Calibri"/>
                <w:sz w:val="17"/>
                <w:szCs w:val="17"/>
                <w:rtl/>
              </w:rPr>
              <w:t>’</w:t>
            </w:r>
            <w:r w:rsidRPr="003C16A0">
              <w:rPr>
                <w:rFonts w:ascii="Calibri" w:hAnsi="Calibri"/>
                <w:sz w:val="17"/>
                <w:szCs w:val="17"/>
              </w:rPr>
              <w:t>s ecological approach has influenced modern scientific practices or policy-making in detail.</w:t>
            </w:r>
          </w:p>
          <w:p w14:paraId="6A0063E9" w14:textId="77777777" w:rsidR="007D4146" w:rsidRPr="003C16A0" w:rsidRDefault="007D4146" w:rsidP="00A661B5">
            <w:pPr>
              <w:pStyle w:val="Default"/>
              <w:spacing w:before="0" w:after="240" w:line="480" w:lineRule="auto"/>
              <w:rPr>
                <w:rFonts w:ascii="Calibri" w:eastAsia="Calibri" w:hAnsi="Calibri" w:cs="Calibri"/>
                <w:sz w:val="17"/>
                <w:szCs w:val="17"/>
              </w:rPr>
            </w:pPr>
            <w:r w:rsidRPr="003C16A0">
              <w:rPr>
                <w:rFonts w:ascii="Calibri" w:hAnsi="Calibri"/>
                <w:b/>
                <w:bCs/>
                <w:sz w:val="17"/>
                <w:szCs w:val="17"/>
              </w:rPr>
              <w:t>Biographical Details</w:t>
            </w:r>
            <w:r w:rsidRPr="003C16A0">
              <w:rPr>
                <w:rFonts w:ascii="Calibri" w:hAnsi="Calibri"/>
                <w:sz w:val="17"/>
                <w:szCs w:val="17"/>
              </w:rPr>
              <w:t>: The article touches on some personal aspects of Dubos</w:t>
            </w:r>
            <w:r w:rsidRPr="003C16A0">
              <w:rPr>
                <w:rFonts w:ascii="Calibri" w:hAnsi="Calibri"/>
                <w:sz w:val="17"/>
                <w:szCs w:val="17"/>
                <w:rtl/>
              </w:rPr>
              <w:t>’</w:t>
            </w:r>
            <w:r w:rsidRPr="003C16A0">
              <w:rPr>
                <w:rFonts w:ascii="Calibri" w:hAnsi="Calibri"/>
                <w:sz w:val="17"/>
                <w:szCs w:val="17"/>
              </w:rPr>
              <w:t>s life, such as his wife's death, which influenced his shift away from antibiotic research. However, these biographical details are somewhat underdeveloped and could have been integrated more fully to provide a richer understanding of Dubos as a person and a scientist.</w:t>
            </w:r>
          </w:p>
          <w:p w14:paraId="2C05C4ED" w14:textId="77777777" w:rsidR="007D4146" w:rsidRPr="003C16A0" w:rsidRDefault="007D4146" w:rsidP="00A661B5">
            <w:pPr>
              <w:pStyle w:val="Default"/>
              <w:spacing w:before="0" w:after="240" w:line="480" w:lineRule="auto"/>
              <w:rPr>
                <w:sz w:val="17"/>
                <w:szCs w:val="17"/>
              </w:rPr>
            </w:pPr>
            <w:r w:rsidRPr="003C16A0">
              <w:rPr>
                <w:rFonts w:ascii="Calibri" w:hAnsi="Calibri"/>
                <w:b/>
                <w:bCs/>
                <w:sz w:val="17"/>
                <w:szCs w:val="17"/>
                <w:lang w:val="de-DE"/>
              </w:rPr>
              <w:t>Narrative Structure</w:t>
            </w:r>
            <w:r w:rsidRPr="003C16A0">
              <w:rPr>
                <w:rFonts w:ascii="Calibri" w:hAnsi="Calibri"/>
                <w:sz w:val="17"/>
                <w:szCs w:val="17"/>
              </w:rPr>
              <w:t>: The narrative occasionally shifts focus abruptly, moving from Dubos's scientific achievements to broader reflections on the history of antibiotics. While these shifts are not detrimental, a more cohesive narrative structure might have enhanced the flow of the article.</w:t>
            </w:r>
          </w:p>
        </w:tc>
      </w:tr>
      <w:tr w:rsidR="007D4146" w14:paraId="0020347C" w14:textId="77777777" w:rsidTr="00A661B5">
        <w:trPr>
          <w:trHeight w:hRule="exact" w:val="12904"/>
        </w:trPr>
        <w:tc>
          <w:tcPr>
            <w:tcW w:w="1509" w:type="dxa"/>
            <w:tcBorders>
              <w:top w:val="single" w:sz="2" w:space="0" w:color="929292"/>
              <w:left w:val="single" w:sz="8" w:space="0" w:color="000000"/>
              <w:bottom w:val="single" w:sz="2" w:space="0" w:color="929292"/>
              <w:right w:val="single" w:sz="6" w:space="0" w:color="89847F"/>
            </w:tcBorders>
            <w:tcMar>
              <w:top w:w="80" w:type="dxa"/>
              <w:left w:w="80" w:type="dxa"/>
              <w:bottom w:w="80" w:type="dxa"/>
              <w:right w:w="80" w:type="dxa"/>
            </w:tcMar>
          </w:tcPr>
          <w:p w14:paraId="35EB6B75" w14:textId="77777777" w:rsidR="007D4146" w:rsidRDefault="007D4146" w:rsidP="00A661B5">
            <w:pPr>
              <w:pStyle w:val="TableStyle6"/>
              <w:tabs>
                <w:tab w:val="left" w:pos="920"/>
              </w:tabs>
              <w:spacing w:line="480" w:lineRule="auto"/>
            </w:pPr>
            <w:r>
              <w:rPr>
                <w:rFonts w:ascii="Helvetica Neue" w:hAnsi="Helvetica Neue"/>
              </w:rPr>
              <w:lastRenderedPageBreak/>
              <w:t>COVID-19, antibiotics and One Health: a UK environmental risk assessment</w:t>
            </w:r>
          </w:p>
          <w:p w14:paraId="23863EA6" w14:textId="77777777" w:rsidR="007D4146" w:rsidRDefault="007D4146" w:rsidP="00A661B5">
            <w:pPr>
              <w:pStyle w:val="TableStyle6"/>
              <w:tabs>
                <w:tab w:val="left" w:pos="920"/>
              </w:tabs>
              <w:spacing w:line="480" w:lineRule="auto"/>
            </w:pPr>
          </w:p>
        </w:tc>
        <w:tc>
          <w:tcPr>
            <w:tcW w:w="1312" w:type="dxa"/>
            <w:tcBorders>
              <w:top w:val="single" w:sz="2" w:space="0" w:color="929292"/>
              <w:left w:val="single" w:sz="6" w:space="0" w:color="89847F"/>
              <w:bottom w:val="single" w:sz="2" w:space="0" w:color="929292"/>
              <w:right w:val="single" w:sz="2" w:space="0" w:color="929292"/>
            </w:tcBorders>
            <w:shd w:val="clear" w:color="auto" w:fill="FEFFFE"/>
            <w:tcMar>
              <w:top w:w="80" w:type="dxa"/>
              <w:left w:w="80" w:type="dxa"/>
              <w:bottom w:w="80" w:type="dxa"/>
              <w:right w:w="80" w:type="dxa"/>
            </w:tcMar>
          </w:tcPr>
          <w:p w14:paraId="701E234B" w14:textId="77777777" w:rsidR="007D4146" w:rsidRDefault="007D4146" w:rsidP="00A661B5">
            <w:pPr>
              <w:pStyle w:val="TableStyle2"/>
              <w:spacing w:line="480" w:lineRule="auto"/>
              <w:jc w:val="center"/>
            </w:pPr>
            <w:r>
              <w:t>2020</w:t>
            </w:r>
          </w:p>
        </w:tc>
        <w:tc>
          <w:tcPr>
            <w:tcW w:w="1312"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4F3CEEE7" w14:textId="77777777" w:rsidR="007D4146" w:rsidRDefault="007D4146" w:rsidP="00A661B5">
            <w:pPr>
              <w:pStyle w:val="TableStyle2"/>
              <w:spacing w:line="480" w:lineRule="auto"/>
            </w:pPr>
            <w:r>
              <w:t>Systematic review</w:t>
            </w:r>
          </w:p>
        </w:tc>
        <w:tc>
          <w:tcPr>
            <w:tcW w:w="1312"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6FA5FB17" w14:textId="77777777" w:rsidR="007D4146" w:rsidRDefault="007D4146" w:rsidP="00A661B5">
            <w:pPr>
              <w:pStyle w:val="TableStyle2"/>
              <w:spacing w:line="480" w:lineRule="auto"/>
            </w:pPr>
            <w:r>
              <w:t>United Kingdom</w:t>
            </w:r>
          </w:p>
        </w:tc>
        <w:tc>
          <w:tcPr>
            <w:tcW w:w="2119"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4D9EA621" w14:textId="77777777" w:rsidR="007D4146" w:rsidRDefault="007D4146" w:rsidP="00A661B5">
            <w:pPr>
              <w:pStyle w:val="Default"/>
              <w:spacing w:before="0" w:line="480" w:lineRule="auto"/>
            </w:pPr>
            <w:r>
              <w:rPr>
                <w:sz w:val="20"/>
                <w:szCs w:val="20"/>
              </w:rPr>
              <w:t>The paper successfully brings attention to an under-explored issue, providing quantitative evidence of the environmental risks associated with pandemic-related antibiotic use. The identification of amoxicillin as a high-risk antibiotic is particularly valuable for guiding future research and policy.</w:t>
            </w:r>
          </w:p>
        </w:tc>
        <w:tc>
          <w:tcPr>
            <w:tcW w:w="2071" w:type="dxa"/>
            <w:tcBorders>
              <w:top w:val="single" w:sz="2" w:space="0" w:color="929292"/>
              <w:left w:val="single" w:sz="2" w:space="0" w:color="929292"/>
              <w:bottom w:val="single" w:sz="2" w:space="0" w:color="929292"/>
              <w:right w:val="single" w:sz="8" w:space="0" w:color="000000"/>
            </w:tcBorders>
            <w:shd w:val="clear" w:color="auto" w:fill="FEFFFE"/>
            <w:tcMar>
              <w:top w:w="80" w:type="dxa"/>
              <w:left w:w="80" w:type="dxa"/>
              <w:bottom w:w="80" w:type="dxa"/>
              <w:right w:w="80" w:type="dxa"/>
            </w:tcMar>
          </w:tcPr>
          <w:p w14:paraId="5A5814BB" w14:textId="77777777" w:rsidR="007D4146" w:rsidRDefault="007D4146" w:rsidP="00A661B5">
            <w:pPr>
              <w:pStyle w:val="Default"/>
              <w:spacing w:before="0" w:line="480" w:lineRule="auto"/>
            </w:pPr>
            <w:r>
              <w:rPr>
                <w:sz w:val="20"/>
                <w:szCs w:val="20"/>
              </w:rPr>
              <w:t>The findings are based on models and assumptions that may not fully capture the complexities of real-world scenarios. For instance, the study does not account for potential variations in wastewater treatment efficiency across different regions or the cumulative impact of multiple antibiotics. Moreover, the reliance on a single case study limits the generalisability of the conclusions.</w:t>
            </w:r>
          </w:p>
        </w:tc>
      </w:tr>
      <w:tr w:rsidR="007D4146" w14:paraId="3FD15596" w14:textId="77777777" w:rsidTr="00A661B5">
        <w:trPr>
          <w:trHeight w:hRule="exact" w:val="13187"/>
        </w:trPr>
        <w:tc>
          <w:tcPr>
            <w:tcW w:w="1509" w:type="dxa"/>
            <w:tcBorders>
              <w:top w:val="single" w:sz="2" w:space="0" w:color="929292"/>
              <w:left w:val="single" w:sz="8" w:space="0" w:color="000000"/>
              <w:bottom w:val="single" w:sz="2" w:space="0" w:color="929292"/>
              <w:right w:val="single" w:sz="6" w:space="0" w:color="89847F"/>
            </w:tcBorders>
            <w:tcMar>
              <w:top w:w="80" w:type="dxa"/>
              <w:left w:w="80" w:type="dxa"/>
              <w:bottom w:w="80" w:type="dxa"/>
              <w:right w:w="80" w:type="dxa"/>
            </w:tcMar>
          </w:tcPr>
          <w:p w14:paraId="6E8A37C2" w14:textId="77777777" w:rsidR="007D4146" w:rsidRDefault="007D4146" w:rsidP="00A661B5">
            <w:pPr>
              <w:pStyle w:val="TableStyle6"/>
              <w:tabs>
                <w:tab w:val="left" w:pos="920"/>
              </w:tabs>
              <w:spacing w:line="480" w:lineRule="auto"/>
            </w:pPr>
            <w:r>
              <w:lastRenderedPageBreak/>
              <w:t>One Health Genomic Surveillance of Escherichia coli Demonstrates Distinct Lineages and Mobile Genetic Elements in Isolates from Humans versus Livestock</w:t>
            </w:r>
          </w:p>
        </w:tc>
        <w:tc>
          <w:tcPr>
            <w:tcW w:w="1312" w:type="dxa"/>
            <w:tcBorders>
              <w:top w:val="single" w:sz="2" w:space="0" w:color="929292"/>
              <w:left w:val="single" w:sz="6" w:space="0" w:color="89847F"/>
              <w:bottom w:val="single" w:sz="2" w:space="0" w:color="929292"/>
              <w:right w:val="single" w:sz="2" w:space="0" w:color="929292"/>
            </w:tcBorders>
            <w:tcMar>
              <w:top w:w="80" w:type="dxa"/>
              <w:left w:w="80" w:type="dxa"/>
              <w:bottom w:w="80" w:type="dxa"/>
              <w:right w:w="80" w:type="dxa"/>
            </w:tcMar>
          </w:tcPr>
          <w:p w14:paraId="478A0EF4" w14:textId="77777777" w:rsidR="007D4146" w:rsidRDefault="007D4146" w:rsidP="00A661B5">
            <w:pPr>
              <w:pStyle w:val="TableStyle2"/>
              <w:spacing w:line="480" w:lineRule="auto"/>
              <w:jc w:val="center"/>
            </w:pPr>
            <w:r>
              <w:t>2019</w:t>
            </w:r>
          </w:p>
        </w:tc>
        <w:tc>
          <w:tcPr>
            <w:tcW w:w="1312" w:type="dxa"/>
            <w:tcBorders>
              <w:top w:val="single" w:sz="2" w:space="0" w:color="929292"/>
              <w:left w:val="single" w:sz="2" w:space="0" w:color="929292"/>
              <w:bottom w:val="single" w:sz="2" w:space="0" w:color="929292"/>
              <w:right w:val="single" w:sz="2" w:space="0" w:color="929292"/>
            </w:tcBorders>
            <w:tcMar>
              <w:top w:w="80" w:type="dxa"/>
              <w:left w:w="80" w:type="dxa"/>
              <w:bottom w:w="80" w:type="dxa"/>
              <w:right w:w="80" w:type="dxa"/>
            </w:tcMar>
          </w:tcPr>
          <w:p w14:paraId="166C8A13" w14:textId="77777777" w:rsidR="007D4146" w:rsidRDefault="007D4146" w:rsidP="00A661B5">
            <w:pPr>
              <w:pStyle w:val="TableStyle2"/>
              <w:spacing w:line="480" w:lineRule="auto"/>
            </w:pPr>
            <w:r>
              <w:t>Cross sectional study</w:t>
            </w:r>
          </w:p>
        </w:tc>
        <w:tc>
          <w:tcPr>
            <w:tcW w:w="1312" w:type="dxa"/>
            <w:tcBorders>
              <w:top w:val="single" w:sz="2" w:space="0" w:color="929292"/>
              <w:left w:val="single" w:sz="2" w:space="0" w:color="929292"/>
              <w:bottom w:val="single" w:sz="2" w:space="0" w:color="929292"/>
              <w:right w:val="single" w:sz="2" w:space="0" w:color="929292"/>
            </w:tcBorders>
            <w:tcMar>
              <w:top w:w="80" w:type="dxa"/>
              <w:left w:w="80" w:type="dxa"/>
              <w:bottom w:w="80" w:type="dxa"/>
              <w:right w:w="80" w:type="dxa"/>
            </w:tcMar>
          </w:tcPr>
          <w:p w14:paraId="5CF9AFCD" w14:textId="77777777" w:rsidR="007D4146" w:rsidRDefault="007D4146" w:rsidP="00A661B5">
            <w:pPr>
              <w:pStyle w:val="TableStyle2"/>
              <w:spacing w:line="480" w:lineRule="auto"/>
            </w:pPr>
            <w:r>
              <w:t>United Kingdom</w:t>
            </w:r>
          </w:p>
        </w:tc>
        <w:tc>
          <w:tcPr>
            <w:tcW w:w="2119" w:type="dxa"/>
            <w:tcBorders>
              <w:top w:val="single" w:sz="2" w:space="0" w:color="929292"/>
              <w:left w:val="single" w:sz="2" w:space="0" w:color="929292"/>
              <w:bottom w:val="single" w:sz="2" w:space="0" w:color="929292"/>
              <w:right w:val="single" w:sz="2" w:space="0" w:color="929292"/>
            </w:tcBorders>
            <w:tcMar>
              <w:top w:w="80" w:type="dxa"/>
              <w:left w:w="80" w:type="dxa"/>
              <w:bottom w:w="80" w:type="dxa"/>
              <w:right w:w="80" w:type="dxa"/>
            </w:tcMar>
          </w:tcPr>
          <w:p w14:paraId="71DA2E73" w14:textId="77777777" w:rsidR="007D4146" w:rsidRDefault="007D4146" w:rsidP="00A661B5">
            <w:pPr>
              <w:pStyle w:val="Default"/>
              <w:spacing w:before="0" w:after="240" w:line="480" w:lineRule="auto"/>
              <w:rPr>
                <w:rFonts w:ascii="Calibri" w:eastAsia="Calibri" w:hAnsi="Calibri" w:cs="Calibri"/>
                <w:sz w:val="18"/>
                <w:szCs w:val="18"/>
              </w:rPr>
            </w:pPr>
            <w:r>
              <w:rPr>
                <w:rFonts w:ascii="Calibri" w:hAnsi="Calibri"/>
                <w:b/>
                <w:bCs/>
                <w:sz w:val="18"/>
                <w:szCs w:val="18"/>
              </w:rPr>
              <w:t>One Health Approach</w:t>
            </w:r>
            <w:r>
              <w:rPr>
                <w:rFonts w:ascii="Calibri" w:hAnsi="Calibri"/>
                <w:sz w:val="18"/>
                <w:szCs w:val="18"/>
              </w:rPr>
              <w:t xml:space="preserve">:- The study adopts a comprehensive One Health approach, which is essential in understanding the transmission dynamics of </w:t>
            </w:r>
            <w:r>
              <w:rPr>
                <w:rFonts w:ascii="Calibri" w:hAnsi="Calibri"/>
                <w:i/>
                <w:iCs/>
                <w:sz w:val="18"/>
                <w:szCs w:val="18"/>
                <w:lang w:val="it-IT"/>
              </w:rPr>
              <w:t>E. coli</w:t>
            </w:r>
            <w:r>
              <w:rPr>
                <w:rFonts w:ascii="Calibri" w:hAnsi="Calibri"/>
                <w:sz w:val="18"/>
                <w:szCs w:val="18"/>
              </w:rPr>
              <w:t xml:space="preserve"> between humans, animals, and the environment. </w:t>
            </w:r>
          </w:p>
          <w:p w14:paraId="5A34EFF5" w14:textId="77777777" w:rsidR="007D4146" w:rsidRDefault="007D4146" w:rsidP="00A661B5">
            <w:pPr>
              <w:pStyle w:val="Default"/>
              <w:spacing w:before="0" w:after="240" w:line="480" w:lineRule="auto"/>
              <w:rPr>
                <w:rFonts w:ascii="Calibri" w:eastAsia="Calibri" w:hAnsi="Calibri" w:cs="Calibri"/>
                <w:b/>
                <w:bCs/>
                <w:sz w:val="18"/>
                <w:szCs w:val="18"/>
              </w:rPr>
            </w:pPr>
            <w:r>
              <w:rPr>
                <w:rFonts w:ascii="Calibri" w:hAnsi="Calibri"/>
                <w:b/>
                <w:bCs/>
                <w:sz w:val="18"/>
                <w:szCs w:val="18"/>
              </w:rPr>
              <w:t>Large Sample Size and Diversity</w:t>
            </w:r>
            <w:r>
              <w:rPr>
                <w:rFonts w:ascii="Calibri" w:hAnsi="Calibri"/>
                <w:sz w:val="18"/>
                <w:szCs w:val="18"/>
              </w:rPr>
              <w:t>:- The study includes a significant number of isolates (431 from livestock and 1,517 from human bloodstream infections), which enhances the robustness of the findings. The inclusion of multiple animal species (cattle, pigs, poultry) and retail meat products adds diversity to the sample, making the findings more generalizable</w:t>
            </w:r>
            <w:r>
              <w:rPr>
                <w:rFonts w:ascii="Calibri" w:hAnsi="Calibri"/>
                <w:b/>
                <w:bCs/>
                <w:sz w:val="18"/>
                <w:szCs w:val="18"/>
              </w:rPr>
              <w:t>.</w:t>
            </w:r>
          </w:p>
          <w:p w14:paraId="3BE65F59" w14:textId="77777777" w:rsidR="007D4146" w:rsidRDefault="007D4146" w:rsidP="00A661B5">
            <w:pPr>
              <w:pStyle w:val="Default"/>
              <w:spacing w:before="0" w:after="240" w:line="480" w:lineRule="auto"/>
              <w:rPr>
                <w:rFonts w:ascii="Calibri" w:eastAsia="Calibri" w:hAnsi="Calibri" w:cs="Calibri"/>
                <w:sz w:val="18"/>
                <w:szCs w:val="18"/>
              </w:rPr>
            </w:pPr>
            <w:r>
              <w:rPr>
                <w:rFonts w:ascii="Calibri" w:hAnsi="Calibri"/>
                <w:b/>
                <w:bCs/>
                <w:sz w:val="18"/>
                <w:szCs w:val="18"/>
              </w:rPr>
              <w:t>Advanced Genomic Techniques</w:t>
            </w:r>
            <w:r>
              <w:rPr>
                <w:rFonts w:ascii="Calibri" w:hAnsi="Calibri"/>
                <w:sz w:val="18"/>
                <w:szCs w:val="18"/>
              </w:rPr>
              <w:t>:- The use of whole-genome sequencing (WGS) and phylogenetic analysis allows for a detailed comparison of core genomes and accessory genes, including those responsible for antibiotic resistance. This provides a high view of the genetic differences between human and livestock isolates.</w:t>
            </w:r>
          </w:p>
          <w:p w14:paraId="0FE4AEE7" w14:textId="77777777" w:rsidR="007D4146" w:rsidRDefault="007D4146" w:rsidP="00A661B5">
            <w:pPr>
              <w:pStyle w:val="Default"/>
              <w:spacing w:before="0" w:after="240" w:line="480" w:lineRule="auto"/>
            </w:pPr>
            <w:r>
              <w:rPr>
                <w:rFonts w:ascii="Calibri" w:hAnsi="Calibri"/>
                <w:b/>
                <w:bCs/>
                <w:sz w:val="18"/>
                <w:szCs w:val="18"/>
              </w:rPr>
              <w:t>Clear Findings on Transmission</w:t>
            </w:r>
            <w:r>
              <w:rPr>
                <w:rFonts w:ascii="Calibri" w:hAnsi="Calibri"/>
                <w:sz w:val="18"/>
                <w:szCs w:val="18"/>
              </w:rPr>
              <w:t xml:space="preserve"> - The study's conclusion that livestock-associated </w:t>
            </w:r>
            <w:r>
              <w:rPr>
                <w:rFonts w:ascii="Calibri" w:hAnsi="Calibri"/>
                <w:i/>
                <w:iCs/>
                <w:sz w:val="18"/>
                <w:szCs w:val="18"/>
                <w:lang w:val="it-IT"/>
              </w:rPr>
              <w:t>E. coli</w:t>
            </w:r>
            <w:r>
              <w:rPr>
                <w:rFonts w:ascii="Calibri" w:hAnsi="Calibri"/>
                <w:sz w:val="18"/>
                <w:szCs w:val="18"/>
              </w:rPr>
              <w:t xml:space="preserve"> are genetically distinct from those causing serious infections in humans. </w:t>
            </w:r>
          </w:p>
        </w:tc>
        <w:tc>
          <w:tcPr>
            <w:tcW w:w="2071" w:type="dxa"/>
            <w:tcBorders>
              <w:top w:val="single" w:sz="2" w:space="0" w:color="929292"/>
              <w:left w:val="single" w:sz="2" w:space="0" w:color="929292"/>
              <w:bottom w:val="single" w:sz="2" w:space="0" w:color="929292"/>
              <w:right w:val="single" w:sz="8" w:space="0" w:color="000000"/>
            </w:tcBorders>
            <w:tcMar>
              <w:top w:w="80" w:type="dxa"/>
              <w:left w:w="80" w:type="dxa"/>
              <w:bottom w:w="80" w:type="dxa"/>
              <w:right w:w="80" w:type="dxa"/>
            </w:tcMar>
          </w:tcPr>
          <w:p w14:paraId="53169807" w14:textId="77777777" w:rsidR="007D4146" w:rsidRPr="003C16A0" w:rsidRDefault="007D4146" w:rsidP="00A661B5">
            <w:pPr>
              <w:pStyle w:val="Default"/>
              <w:spacing w:before="0" w:after="240" w:line="480" w:lineRule="auto"/>
              <w:rPr>
                <w:rFonts w:ascii="Calibri" w:eastAsia="Calibri" w:hAnsi="Calibri" w:cs="Calibri"/>
                <w:b/>
                <w:bCs/>
                <w:sz w:val="17"/>
                <w:szCs w:val="17"/>
              </w:rPr>
            </w:pPr>
            <w:r w:rsidRPr="003C16A0">
              <w:rPr>
                <w:rFonts w:ascii="Calibri" w:hAnsi="Calibri"/>
                <w:b/>
                <w:bCs/>
                <w:sz w:val="17"/>
                <w:szCs w:val="17"/>
              </w:rPr>
              <w:t>Sampling Bias</w:t>
            </w:r>
            <w:r w:rsidRPr="003C16A0">
              <w:rPr>
                <w:rFonts w:ascii="Calibri" w:hAnsi="Calibri"/>
                <w:sz w:val="17"/>
                <w:szCs w:val="17"/>
              </w:rPr>
              <w:t>:The sampling framework, while extensive, might still be subject to bias. For instance, the study acknowledges that the human isolates may overrepresent hospital-acquired infections, which might not be fully comparable to community-acquired infections that could have different sources, including livestock.</w:t>
            </w:r>
          </w:p>
          <w:p w14:paraId="24D322A8" w14:textId="77777777" w:rsidR="007D4146" w:rsidRPr="003C16A0" w:rsidRDefault="007D4146" w:rsidP="00A661B5">
            <w:pPr>
              <w:pStyle w:val="Default"/>
              <w:spacing w:before="0" w:after="240" w:line="480" w:lineRule="auto"/>
              <w:rPr>
                <w:rFonts w:ascii="Calibri" w:eastAsia="Calibri" w:hAnsi="Calibri" w:cs="Calibri"/>
                <w:sz w:val="17"/>
                <w:szCs w:val="17"/>
              </w:rPr>
            </w:pPr>
            <w:r w:rsidRPr="003C16A0">
              <w:rPr>
                <w:rFonts w:ascii="Calibri" w:hAnsi="Calibri"/>
                <w:b/>
                <w:bCs/>
                <w:sz w:val="17"/>
                <w:szCs w:val="17"/>
              </w:rPr>
              <w:t>Focus on ESBL-Producing Isolates</w:t>
            </w:r>
            <w:r w:rsidRPr="003C16A0">
              <w:rPr>
                <w:rFonts w:ascii="Calibri" w:hAnsi="Calibri"/>
                <w:sz w:val="17"/>
                <w:szCs w:val="17"/>
              </w:rPr>
              <w:t>: The emphasis on extended-spectrum β</w:t>
            </w:r>
            <w:r w:rsidRPr="003C16A0">
              <w:rPr>
                <w:rFonts w:ascii="Calibri" w:hAnsi="Calibri"/>
                <w:sz w:val="17"/>
                <w:szCs w:val="17"/>
                <w:lang w:val="es-ES_tradnl"/>
              </w:rPr>
              <w:t xml:space="preserve">-lactamase (ESBL)-producing </w:t>
            </w:r>
            <w:r w:rsidRPr="003C16A0">
              <w:rPr>
                <w:rFonts w:ascii="Calibri" w:hAnsi="Calibri"/>
                <w:i/>
                <w:iCs/>
                <w:sz w:val="17"/>
                <w:szCs w:val="17"/>
                <w:lang w:val="it-IT"/>
              </w:rPr>
              <w:t>E. coli</w:t>
            </w:r>
            <w:r w:rsidRPr="003C16A0">
              <w:rPr>
                <w:rFonts w:ascii="Calibri" w:hAnsi="Calibri"/>
                <w:sz w:val="17"/>
                <w:szCs w:val="17"/>
              </w:rPr>
              <w:t xml:space="preserve"> is appropriate given their clinical significance, but it may overlook other important resistance mechanisms. Additionally, the study</w:t>
            </w:r>
            <w:r w:rsidRPr="003C16A0">
              <w:rPr>
                <w:rFonts w:ascii="Calibri" w:hAnsi="Calibri"/>
                <w:sz w:val="17"/>
                <w:szCs w:val="17"/>
                <w:rtl/>
              </w:rPr>
              <w:t>’</w:t>
            </w:r>
            <w:r w:rsidRPr="003C16A0">
              <w:rPr>
                <w:rFonts w:ascii="Calibri" w:hAnsi="Calibri"/>
                <w:sz w:val="17"/>
                <w:szCs w:val="17"/>
              </w:rPr>
              <w:t xml:space="preserve">s findings are less relevant to non-ESBL </w:t>
            </w:r>
            <w:r w:rsidRPr="003C16A0">
              <w:rPr>
                <w:rFonts w:ascii="Calibri" w:hAnsi="Calibri"/>
                <w:i/>
                <w:iCs/>
                <w:sz w:val="17"/>
                <w:szCs w:val="17"/>
                <w:lang w:val="it-IT"/>
              </w:rPr>
              <w:t>E. coli</w:t>
            </w:r>
            <w:r w:rsidRPr="003C16A0">
              <w:rPr>
                <w:rFonts w:ascii="Calibri" w:hAnsi="Calibri"/>
                <w:sz w:val="17"/>
                <w:szCs w:val="17"/>
              </w:rPr>
              <w:t xml:space="preserve"> strains, which could have different transmission dynamics.</w:t>
            </w:r>
          </w:p>
          <w:p w14:paraId="52E53FE7" w14:textId="77777777" w:rsidR="007D4146" w:rsidRPr="003C16A0" w:rsidRDefault="007D4146" w:rsidP="00A661B5">
            <w:pPr>
              <w:pStyle w:val="Default"/>
              <w:spacing w:before="0" w:after="240" w:line="480" w:lineRule="auto"/>
              <w:rPr>
                <w:sz w:val="17"/>
                <w:szCs w:val="17"/>
              </w:rPr>
            </w:pPr>
            <w:r w:rsidRPr="003C16A0">
              <w:rPr>
                <w:rFonts w:ascii="Calibri" w:hAnsi="Calibri"/>
                <w:b/>
                <w:bCs/>
                <w:sz w:val="17"/>
                <w:szCs w:val="17"/>
              </w:rPr>
              <w:t>Limited Data on Environmental Factors</w:t>
            </w:r>
            <w:r w:rsidRPr="003C16A0">
              <w:rPr>
                <w:rFonts w:ascii="Calibri" w:hAnsi="Calibri"/>
                <w:sz w:val="17"/>
                <w:szCs w:val="17"/>
              </w:rPr>
              <w:t>: The study focuses on direct transmission between livestock and humans but does not extensively explore environmental reservoirs or indirect transmission routes, such as through water or soil. These factors could play a significant role in the dissemination of AMR</w:t>
            </w:r>
            <w:r w:rsidRPr="003C16A0">
              <w:rPr>
                <w:rFonts w:ascii="Calibri" w:hAnsi="Calibri"/>
                <w:b/>
                <w:bCs/>
                <w:sz w:val="17"/>
                <w:szCs w:val="17"/>
              </w:rPr>
              <w:t>. T</w:t>
            </w:r>
            <w:r w:rsidRPr="003C16A0">
              <w:rPr>
                <w:rFonts w:ascii="Calibri" w:hAnsi="Calibri"/>
                <w:sz w:val="17"/>
                <w:szCs w:val="17"/>
              </w:rPr>
              <w:t>he practical implications for livestock management and antimicrobial usage policies are not fully ex</w:t>
            </w:r>
            <w:r w:rsidRPr="003C16A0">
              <w:rPr>
                <w:rFonts w:ascii="Calibri" w:hAnsi="Calibri"/>
                <w:sz w:val="17"/>
                <w:szCs w:val="17"/>
                <w:lang w:val="it-IT"/>
              </w:rPr>
              <w:t xml:space="preserve">plored. </w:t>
            </w:r>
          </w:p>
        </w:tc>
      </w:tr>
      <w:tr w:rsidR="007D4146" w14:paraId="6C6152E1" w14:textId="77777777" w:rsidTr="00A661B5">
        <w:trPr>
          <w:trHeight w:hRule="exact" w:val="13163"/>
        </w:trPr>
        <w:tc>
          <w:tcPr>
            <w:tcW w:w="1509" w:type="dxa"/>
            <w:tcBorders>
              <w:top w:val="single" w:sz="2" w:space="0" w:color="929292"/>
              <w:left w:val="single" w:sz="8" w:space="0" w:color="000000"/>
              <w:bottom w:val="single" w:sz="2" w:space="0" w:color="929292"/>
              <w:right w:val="single" w:sz="6" w:space="0" w:color="89847F"/>
            </w:tcBorders>
            <w:tcMar>
              <w:top w:w="80" w:type="dxa"/>
              <w:left w:w="80" w:type="dxa"/>
              <w:bottom w:w="80" w:type="dxa"/>
              <w:right w:w="80" w:type="dxa"/>
            </w:tcMar>
          </w:tcPr>
          <w:p w14:paraId="5CCD3F12" w14:textId="77777777" w:rsidR="007D4146" w:rsidRDefault="007D4146" w:rsidP="00A661B5">
            <w:pPr>
              <w:pStyle w:val="Default"/>
              <w:spacing w:before="0" w:after="180" w:line="480" w:lineRule="auto"/>
            </w:pPr>
            <w:r>
              <w:rPr>
                <w:color w:val="202020"/>
                <w:sz w:val="20"/>
                <w:szCs w:val="20"/>
                <w:shd w:val="clear" w:color="auto" w:fill="FFFFFF"/>
              </w:rPr>
              <w:lastRenderedPageBreak/>
              <w:t>Comparing public attitudes, knowledge, beliefs and behaviours towards antibiotics and antimicrobial resistance in Australia, United Kingdom, and Sweden (2010-2021): A systematic review, meta-analysis, and comparative policy analysis</w:t>
            </w:r>
          </w:p>
        </w:tc>
        <w:tc>
          <w:tcPr>
            <w:tcW w:w="1312" w:type="dxa"/>
            <w:tcBorders>
              <w:top w:val="single" w:sz="2" w:space="0" w:color="929292"/>
              <w:left w:val="single" w:sz="6" w:space="0" w:color="89847F"/>
              <w:bottom w:val="single" w:sz="2" w:space="0" w:color="929292"/>
              <w:right w:val="single" w:sz="2" w:space="0" w:color="929292"/>
            </w:tcBorders>
            <w:shd w:val="clear" w:color="auto" w:fill="FEFFFE"/>
            <w:tcMar>
              <w:top w:w="80" w:type="dxa"/>
              <w:left w:w="80" w:type="dxa"/>
              <w:bottom w:w="80" w:type="dxa"/>
              <w:right w:w="80" w:type="dxa"/>
            </w:tcMar>
          </w:tcPr>
          <w:p w14:paraId="48F97EBD" w14:textId="77777777" w:rsidR="007D4146" w:rsidRDefault="007D4146" w:rsidP="00A661B5">
            <w:pPr>
              <w:pStyle w:val="TableStyle2"/>
              <w:spacing w:line="480" w:lineRule="auto"/>
              <w:jc w:val="center"/>
            </w:pPr>
            <w:r>
              <w:t>2022</w:t>
            </w:r>
          </w:p>
        </w:tc>
        <w:tc>
          <w:tcPr>
            <w:tcW w:w="1312"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267FF366" w14:textId="77777777" w:rsidR="007D4146" w:rsidRDefault="007D4146" w:rsidP="00A661B5">
            <w:pPr>
              <w:pStyle w:val="TableStyle2"/>
              <w:spacing w:line="480" w:lineRule="auto"/>
            </w:pPr>
            <w:r>
              <w:rPr>
                <w:rFonts w:eastAsia="Arial Unicode MS" w:cs="Arial Unicode MS"/>
              </w:rPr>
              <w:t>Meta analysis</w:t>
            </w:r>
          </w:p>
        </w:tc>
        <w:tc>
          <w:tcPr>
            <w:tcW w:w="1312"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15A9689F" w14:textId="77777777" w:rsidR="007D4146" w:rsidRDefault="007D4146" w:rsidP="00A661B5">
            <w:pPr>
              <w:pStyle w:val="TableStyle2"/>
              <w:spacing w:line="480" w:lineRule="auto"/>
            </w:pPr>
            <w:r>
              <w:t xml:space="preserve">UK, Australia, Sweden </w:t>
            </w:r>
          </w:p>
        </w:tc>
        <w:tc>
          <w:tcPr>
            <w:tcW w:w="2119" w:type="dxa"/>
            <w:tcBorders>
              <w:top w:val="single" w:sz="2" w:space="0" w:color="929292"/>
              <w:left w:val="single" w:sz="2" w:space="0" w:color="929292"/>
              <w:bottom w:val="single" w:sz="2" w:space="0" w:color="929292"/>
              <w:right w:val="single" w:sz="2" w:space="0" w:color="929292"/>
            </w:tcBorders>
            <w:shd w:val="clear" w:color="auto" w:fill="FEFFFE"/>
            <w:tcMar>
              <w:top w:w="80" w:type="dxa"/>
              <w:left w:w="80" w:type="dxa"/>
              <w:bottom w:w="80" w:type="dxa"/>
              <w:right w:w="80" w:type="dxa"/>
            </w:tcMar>
          </w:tcPr>
          <w:p w14:paraId="1F1F6A10" w14:textId="77777777" w:rsidR="007D4146" w:rsidRPr="00995AC3" w:rsidRDefault="007D4146" w:rsidP="00A661B5">
            <w:pPr>
              <w:pStyle w:val="Default"/>
              <w:spacing w:before="0" w:after="240" w:line="480" w:lineRule="auto"/>
              <w:rPr>
                <w:rFonts w:ascii="Calibri" w:eastAsia="Calibri" w:hAnsi="Calibri" w:cs="Calibri"/>
                <w:sz w:val="17"/>
                <w:szCs w:val="17"/>
              </w:rPr>
            </w:pPr>
            <w:r w:rsidRPr="00995AC3">
              <w:rPr>
                <w:rFonts w:ascii="Calibri" w:hAnsi="Calibri"/>
                <w:b/>
                <w:bCs/>
                <w:sz w:val="17"/>
                <w:szCs w:val="17"/>
              </w:rPr>
              <w:t>Comprehensive Approach</w:t>
            </w:r>
            <w:r w:rsidRPr="00995AC3">
              <w:rPr>
                <w:rFonts w:ascii="Calibri" w:hAnsi="Calibri"/>
                <w:sz w:val="17"/>
                <w:szCs w:val="17"/>
              </w:rPr>
              <w:t>: The study employs a systematic review and meta-analysis, offering a robust methodological approach. This ensures that the findings are based on a broad spectrum of existing research.</w:t>
            </w:r>
          </w:p>
          <w:p w14:paraId="1334BA89" w14:textId="77777777" w:rsidR="007D4146" w:rsidRPr="00995AC3" w:rsidRDefault="007D4146" w:rsidP="00A661B5">
            <w:pPr>
              <w:pStyle w:val="Default"/>
              <w:spacing w:before="0" w:after="240" w:line="480" w:lineRule="auto"/>
              <w:rPr>
                <w:rFonts w:ascii="Calibri" w:eastAsia="Calibri" w:hAnsi="Calibri" w:cs="Calibri"/>
                <w:sz w:val="17"/>
                <w:szCs w:val="17"/>
              </w:rPr>
            </w:pPr>
            <w:r w:rsidRPr="00995AC3">
              <w:rPr>
                <w:rFonts w:ascii="Calibri" w:hAnsi="Calibri"/>
                <w:b/>
                <w:bCs/>
                <w:sz w:val="17"/>
                <w:szCs w:val="17"/>
              </w:rPr>
              <w:t>Comparative Analysis</w:t>
            </w:r>
            <w:r w:rsidRPr="00995AC3">
              <w:rPr>
                <w:rFonts w:ascii="Calibri" w:hAnsi="Calibri"/>
                <w:sz w:val="17"/>
                <w:szCs w:val="17"/>
              </w:rPr>
              <w:t>: By comparing three countries—Australia, the UK, and Sweden—with varying rates of antibiotic consumption and different policy approaches, the study provides valuable insights into how national policies and public education efforts influence antibiotic use and public awareness of AMR.</w:t>
            </w:r>
          </w:p>
          <w:p w14:paraId="68E4E1A0" w14:textId="77777777" w:rsidR="007D4146" w:rsidRPr="00995AC3" w:rsidRDefault="007D4146" w:rsidP="00A661B5">
            <w:pPr>
              <w:pStyle w:val="Default"/>
              <w:spacing w:before="0" w:after="240" w:line="480" w:lineRule="auto"/>
              <w:rPr>
                <w:rFonts w:ascii="Calibri" w:eastAsia="Calibri" w:hAnsi="Calibri" w:cs="Calibri"/>
                <w:sz w:val="17"/>
                <w:szCs w:val="17"/>
              </w:rPr>
            </w:pPr>
            <w:r w:rsidRPr="00995AC3">
              <w:rPr>
                <w:rFonts w:ascii="Calibri" w:hAnsi="Calibri"/>
                <w:b/>
                <w:bCs/>
                <w:sz w:val="17"/>
                <w:szCs w:val="17"/>
              </w:rPr>
              <w:t>Policy and Practice Implications</w:t>
            </w:r>
            <w:r w:rsidRPr="00995AC3">
              <w:rPr>
                <w:rFonts w:ascii="Calibri" w:hAnsi="Calibri"/>
                <w:sz w:val="17"/>
                <w:szCs w:val="17"/>
              </w:rPr>
              <w:t>: The study</w:t>
            </w:r>
            <w:r w:rsidRPr="00995AC3">
              <w:rPr>
                <w:rFonts w:ascii="Calibri" w:hAnsi="Calibri"/>
                <w:sz w:val="17"/>
                <w:szCs w:val="17"/>
                <w:rtl/>
              </w:rPr>
              <w:t>’</w:t>
            </w:r>
            <w:r w:rsidRPr="00995AC3">
              <w:rPr>
                <w:rFonts w:ascii="Calibri" w:hAnsi="Calibri"/>
                <w:sz w:val="17"/>
                <w:szCs w:val="17"/>
              </w:rPr>
              <w:t>s focus on the impact of public knowledge, attitudes, and practices (KAP) on antibiotic use, and how these factors interact with national policies, offers practical implications. For instance, it highlights the effectiveness of Sweden's stringent control measures compared to the more education-focused approaches in Australia and the UK.</w:t>
            </w:r>
          </w:p>
          <w:p w14:paraId="2FB09862" w14:textId="77777777" w:rsidR="007D4146" w:rsidRPr="00995AC3" w:rsidRDefault="007D4146" w:rsidP="00A661B5">
            <w:pPr>
              <w:pStyle w:val="Default"/>
              <w:spacing w:before="0" w:after="240" w:line="480" w:lineRule="auto"/>
              <w:rPr>
                <w:sz w:val="17"/>
                <w:szCs w:val="17"/>
              </w:rPr>
            </w:pPr>
            <w:r w:rsidRPr="00995AC3">
              <w:rPr>
                <w:rFonts w:ascii="Calibri" w:hAnsi="Calibri"/>
                <w:b/>
                <w:bCs/>
                <w:sz w:val="17"/>
                <w:szCs w:val="17"/>
              </w:rPr>
              <w:t>Meta-Analysis Inclusion</w:t>
            </w:r>
            <w:r w:rsidRPr="00995AC3">
              <w:rPr>
                <w:rFonts w:ascii="Calibri" w:hAnsi="Calibri"/>
                <w:sz w:val="17"/>
                <w:szCs w:val="17"/>
              </w:rPr>
              <w:t>: The inclusion of a meta-analysis adds a quantitative dimension to the study, allowing for a more nuanced understanding of public perception.</w:t>
            </w:r>
          </w:p>
        </w:tc>
        <w:tc>
          <w:tcPr>
            <w:tcW w:w="2071" w:type="dxa"/>
            <w:tcBorders>
              <w:top w:val="single" w:sz="2" w:space="0" w:color="929292"/>
              <w:left w:val="single" w:sz="2" w:space="0" w:color="929292"/>
              <w:bottom w:val="single" w:sz="2" w:space="0" w:color="929292"/>
              <w:right w:val="single" w:sz="8" w:space="0" w:color="000000"/>
            </w:tcBorders>
            <w:shd w:val="clear" w:color="auto" w:fill="FEFFFE"/>
            <w:tcMar>
              <w:top w:w="80" w:type="dxa"/>
              <w:left w:w="80" w:type="dxa"/>
              <w:bottom w:w="80" w:type="dxa"/>
              <w:right w:w="80" w:type="dxa"/>
            </w:tcMar>
          </w:tcPr>
          <w:p w14:paraId="24D2B89A" w14:textId="77777777" w:rsidR="007D4146" w:rsidRPr="00146FF7" w:rsidRDefault="007D4146" w:rsidP="00A661B5">
            <w:pPr>
              <w:pStyle w:val="Default"/>
              <w:spacing w:before="0" w:line="480" w:lineRule="auto"/>
              <w:rPr>
                <w:rFonts w:ascii="Calibri" w:eastAsia="Calibri" w:hAnsi="Calibri" w:cs="Calibri"/>
                <w:sz w:val="18"/>
                <w:szCs w:val="18"/>
              </w:rPr>
            </w:pPr>
            <w:r w:rsidRPr="00146FF7">
              <w:rPr>
                <w:rFonts w:ascii="Calibri" w:hAnsi="Calibri"/>
                <w:b/>
                <w:bCs/>
                <w:sz w:val="18"/>
                <w:szCs w:val="18"/>
              </w:rPr>
              <w:t>Heterogeneity of Included Studies</w:t>
            </w:r>
            <w:r w:rsidRPr="00146FF7">
              <w:rPr>
                <w:rFonts w:ascii="Calibri" w:hAnsi="Calibri"/>
                <w:sz w:val="18"/>
                <w:szCs w:val="18"/>
              </w:rPr>
              <w:t>: The study acknowledges the complexity and diversity of the included KAP surveys. The differences in survey design, population demographics, and the specific questions asked across studies may introduce variability in the results of findings.</w:t>
            </w:r>
          </w:p>
          <w:p w14:paraId="4300ACFC" w14:textId="77777777" w:rsidR="007D4146" w:rsidRPr="00146FF7" w:rsidRDefault="007D4146" w:rsidP="00A661B5">
            <w:pPr>
              <w:pStyle w:val="Default"/>
              <w:spacing w:before="0" w:line="480" w:lineRule="auto"/>
              <w:rPr>
                <w:rFonts w:ascii="Calibri" w:eastAsia="Calibri" w:hAnsi="Calibri" w:cs="Calibri"/>
                <w:sz w:val="18"/>
                <w:szCs w:val="18"/>
              </w:rPr>
            </w:pPr>
            <w:r w:rsidRPr="00146FF7">
              <w:rPr>
                <w:rFonts w:ascii="Calibri" w:hAnsi="Calibri"/>
                <w:b/>
                <w:bCs/>
                <w:sz w:val="18"/>
                <w:szCs w:val="18"/>
              </w:rPr>
              <w:t>Potential Bias in Policy Evaluation</w:t>
            </w:r>
            <w:r w:rsidRPr="00146FF7">
              <w:rPr>
                <w:rFonts w:ascii="Calibri" w:hAnsi="Calibri"/>
                <w:sz w:val="18"/>
                <w:szCs w:val="18"/>
              </w:rPr>
              <w:t>: The study</w:t>
            </w:r>
            <w:r w:rsidRPr="00146FF7">
              <w:rPr>
                <w:rFonts w:ascii="Calibri" w:hAnsi="Calibri"/>
                <w:sz w:val="18"/>
                <w:szCs w:val="18"/>
                <w:rtl/>
              </w:rPr>
              <w:t>’</w:t>
            </w:r>
            <w:r w:rsidRPr="00146FF7">
              <w:rPr>
                <w:rFonts w:ascii="Calibri" w:hAnsi="Calibri"/>
                <w:sz w:val="18"/>
                <w:szCs w:val="18"/>
              </w:rPr>
              <w:t>s evaluation of the success of policies in Sweden might be influenced by the generally positive global perception of Sweden's healthcare system. While Sweden</w:t>
            </w:r>
            <w:r w:rsidRPr="00146FF7">
              <w:rPr>
                <w:rFonts w:ascii="Calibri" w:hAnsi="Calibri"/>
                <w:sz w:val="18"/>
                <w:szCs w:val="18"/>
                <w:rtl/>
              </w:rPr>
              <w:t>’</w:t>
            </w:r>
            <w:r w:rsidRPr="00146FF7">
              <w:rPr>
                <w:rFonts w:ascii="Calibri" w:hAnsi="Calibri"/>
                <w:sz w:val="18"/>
                <w:szCs w:val="18"/>
              </w:rPr>
              <w:t>s approach to reducing antibiotic consumption is praised, the study may not fully account for other socio-economic and cultural factors that could contribute to its success, leading to an overly favorable assessment.</w:t>
            </w:r>
          </w:p>
          <w:p w14:paraId="0BF90C80" w14:textId="77777777" w:rsidR="007D4146" w:rsidRPr="00146FF7" w:rsidRDefault="007D4146" w:rsidP="00A661B5">
            <w:pPr>
              <w:pStyle w:val="Default"/>
              <w:spacing w:before="0" w:line="480" w:lineRule="auto"/>
              <w:rPr>
                <w:sz w:val="18"/>
                <w:szCs w:val="18"/>
              </w:rPr>
            </w:pPr>
            <w:r w:rsidRPr="00146FF7">
              <w:rPr>
                <w:rFonts w:ascii="Calibri" w:hAnsi="Calibri"/>
                <w:b/>
                <w:bCs/>
                <w:sz w:val="18"/>
                <w:szCs w:val="18"/>
              </w:rPr>
              <w:t>Limited Focus on Implementation Challenges</w:t>
            </w:r>
            <w:r w:rsidRPr="00146FF7">
              <w:rPr>
                <w:rFonts w:ascii="Calibri" w:hAnsi="Calibri"/>
                <w:sz w:val="18"/>
                <w:szCs w:val="18"/>
              </w:rPr>
              <w:t>: The study identifies the importance of policy and practice changes but does not deeply delve into the practical challenges of implementing these changes, especially in diverse healthcare settings like those in Australia and the UK. Understanding these challenges is crucial for translating policy in real-world practice.</w:t>
            </w:r>
          </w:p>
        </w:tc>
      </w:tr>
      <w:tr w:rsidR="007D4146" w14:paraId="4621234E" w14:textId="77777777" w:rsidTr="00A661B5">
        <w:trPr>
          <w:trHeight w:hRule="exact" w:val="12904"/>
        </w:trPr>
        <w:tc>
          <w:tcPr>
            <w:tcW w:w="1509" w:type="dxa"/>
            <w:tcBorders>
              <w:top w:val="single" w:sz="2" w:space="0" w:color="929292"/>
              <w:left w:val="single" w:sz="8" w:space="0" w:color="000000"/>
              <w:bottom w:val="single" w:sz="8" w:space="0" w:color="000000"/>
              <w:right w:val="single" w:sz="6" w:space="0" w:color="89847F"/>
            </w:tcBorders>
            <w:tcMar>
              <w:top w:w="80" w:type="dxa"/>
              <w:left w:w="80" w:type="dxa"/>
              <w:bottom w:w="80" w:type="dxa"/>
              <w:right w:w="80" w:type="dxa"/>
            </w:tcMar>
          </w:tcPr>
          <w:p w14:paraId="6CB56D68" w14:textId="77777777" w:rsidR="007D4146" w:rsidRDefault="007D4146" w:rsidP="00A661B5">
            <w:pPr>
              <w:pStyle w:val="TableStyle6"/>
              <w:tabs>
                <w:tab w:val="left" w:pos="920"/>
              </w:tabs>
              <w:spacing w:line="480" w:lineRule="auto"/>
            </w:pPr>
            <w:r>
              <w:lastRenderedPageBreak/>
              <w:t>Developing a local antimicrobial resistance action plan: the Cornwall One Health Antimicrobial Resistance Group</w:t>
            </w:r>
          </w:p>
          <w:p w14:paraId="07332FBD" w14:textId="77777777" w:rsidR="007D4146" w:rsidRDefault="007D4146" w:rsidP="00A661B5">
            <w:pPr>
              <w:pStyle w:val="TableStyle6"/>
              <w:tabs>
                <w:tab w:val="left" w:pos="920"/>
              </w:tabs>
              <w:spacing w:line="480" w:lineRule="auto"/>
            </w:pPr>
          </w:p>
        </w:tc>
        <w:tc>
          <w:tcPr>
            <w:tcW w:w="1312" w:type="dxa"/>
            <w:tcBorders>
              <w:top w:val="single" w:sz="2" w:space="0" w:color="929292"/>
              <w:left w:val="single" w:sz="6" w:space="0" w:color="89847F"/>
              <w:bottom w:val="single" w:sz="8" w:space="0" w:color="000000"/>
              <w:right w:val="single" w:sz="2" w:space="0" w:color="929292"/>
            </w:tcBorders>
            <w:tcMar>
              <w:top w:w="80" w:type="dxa"/>
              <w:left w:w="80" w:type="dxa"/>
              <w:bottom w:w="80" w:type="dxa"/>
              <w:right w:w="80" w:type="dxa"/>
            </w:tcMar>
          </w:tcPr>
          <w:p w14:paraId="51BB0A00" w14:textId="77777777" w:rsidR="007D4146" w:rsidRDefault="007D4146" w:rsidP="00A661B5">
            <w:pPr>
              <w:spacing w:line="480" w:lineRule="auto"/>
              <w:jc w:val="right"/>
            </w:pPr>
            <w:r>
              <w:rPr>
                <w:rFonts w:ascii="Helvetica Neue" w:hAnsi="Helvetica Neue" w:cs="Arial Unicode MS"/>
                <w:color w:val="000000"/>
                <w:sz w:val="20"/>
                <w:szCs w:val="20"/>
                <w14:textOutline w14:w="0" w14:cap="flat" w14:cmpd="sng" w14:algn="ctr">
                  <w14:noFill/>
                  <w14:prstDash w14:val="solid"/>
                  <w14:bevel/>
                </w14:textOutline>
              </w:rPr>
              <w:t>2017</w:t>
            </w:r>
          </w:p>
        </w:tc>
        <w:tc>
          <w:tcPr>
            <w:tcW w:w="1312" w:type="dxa"/>
            <w:tcBorders>
              <w:top w:val="single" w:sz="2" w:space="0" w:color="929292"/>
              <w:left w:val="single" w:sz="2" w:space="0" w:color="929292"/>
              <w:bottom w:val="single" w:sz="8" w:space="0" w:color="000000"/>
              <w:right w:val="single" w:sz="2" w:space="0" w:color="929292"/>
            </w:tcBorders>
            <w:tcMar>
              <w:top w:w="80" w:type="dxa"/>
              <w:left w:w="80" w:type="dxa"/>
              <w:bottom w:w="80" w:type="dxa"/>
              <w:right w:w="80" w:type="dxa"/>
            </w:tcMar>
          </w:tcPr>
          <w:p w14:paraId="0F7B7F84" w14:textId="77777777" w:rsidR="007D4146" w:rsidRDefault="007D4146" w:rsidP="00A661B5">
            <w:pPr>
              <w:pStyle w:val="TableStyle2"/>
              <w:spacing w:line="480" w:lineRule="auto"/>
            </w:pPr>
            <w:r>
              <w:t>Systematic review</w:t>
            </w:r>
          </w:p>
        </w:tc>
        <w:tc>
          <w:tcPr>
            <w:tcW w:w="1312" w:type="dxa"/>
            <w:tcBorders>
              <w:top w:val="single" w:sz="2" w:space="0" w:color="929292"/>
              <w:left w:val="single" w:sz="2" w:space="0" w:color="929292"/>
              <w:bottom w:val="single" w:sz="8" w:space="0" w:color="000000"/>
              <w:right w:val="single" w:sz="2" w:space="0" w:color="929292"/>
            </w:tcBorders>
            <w:tcMar>
              <w:top w:w="80" w:type="dxa"/>
              <w:left w:w="80" w:type="dxa"/>
              <w:bottom w:w="80" w:type="dxa"/>
              <w:right w:w="80" w:type="dxa"/>
            </w:tcMar>
          </w:tcPr>
          <w:p w14:paraId="0FD79272" w14:textId="77777777" w:rsidR="007D4146" w:rsidRDefault="007D4146" w:rsidP="00A661B5">
            <w:pPr>
              <w:pStyle w:val="TableStyle2"/>
              <w:spacing w:line="480" w:lineRule="auto"/>
            </w:pPr>
            <w:r>
              <w:t>UK population</w:t>
            </w:r>
          </w:p>
        </w:tc>
        <w:tc>
          <w:tcPr>
            <w:tcW w:w="2119" w:type="dxa"/>
            <w:tcBorders>
              <w:top w:val="single" w:sz="2" w:space="0" w:color="929292"/>
              <w:left w:val="single" w:sz="2" w:space="0" w:color="929292"/>
              <w:bottom w:val="single" w:sz="8" w:space="0" w:color="000000"/>
              <w:right w:val="single" w:sz="2" w:space="0" w:color="929292"/>
            </w:tcBorders>
            <w:tcMar>
              <w:top w:w="80" w:type="dxa"/>
              <w:left w:w="80" w:type="dxa"/>
              <w:bottom w:w="80" w:type="dxa"/>
              <w:right w:w="80" w:type="dxa"/>
            </w:tcMar>
          </w:tcPr>
          <w:p w14:paraId="5C19C853" w14:textId="77777777" w:rsidR="007D4146" w:rsidRDefault="007D4146" w:rsidP="00A661B5">
            <w:pPr>
              <w:pStyle w:val="Default"/>
              <w:spacing w:before="0" w:line="480" w:lineRule="auto"/>
            </w:pPr>
            <w:r>
              <w:rPr>
                <w:sz w:val="18"/>
                <w:szCs w:val="18"/>
              </w:rPr>
              <w:t>The study’s strengths lie in its comprehensive One Health approach, which integrates human, veterinary, and environmental health sectors, enabling a holistic response to AMR. The alignment of local initiatives with the UK’s national AMR strategy, combined with measurable outcomes like reduced antibiotic usage, showcases effective implementation. The project also emphasizes public and professional engagement, using media campaigns and educational programs to raise awareness and improve practices across sectors. Additionally, the group's flexible, iterative planning allows for adaptive responses based on stakeholder input and emerging needs, enhancing the initiative's relevance and sustainability.</w:t>
            </w:r>
          </w:p>
        </w:tc>
        <w:tc>
          <w:tcPr>
            <w:tcW w:w="2071" w:type="dxa"/>
            <w:tcBorders>
              <w:top w:val="single" w:sz="2" w:space="0" w:color="929292"/>
              <w:left w:val="single" w:sz="2" w:space="0" w:color="929292"/>
              <w:bottom w:val="single" w:sz="8" w:space="0" w:color="000000"/>
              <w:right w:val="single" w:sz="8" w:space="0" w:color="000000"/>
            </w:tcBorders>
            <w:tcMar>
              <w:top w:w="80" w:type="dxa"/>
              <w:left w:w="80" w:type="dxa"/>
              <w:bottom w:w="80" w:type="dxa"/>
              <w:right w:w="80" w:type="dxa"/>
            </w:tcMar>
          </w:tcPr>
          <w:p w14:paraId="6426F8BC" w14:textId="77777777" w:rsidR="007D4146" w:rsidRDefault="007D4146" w:rsidP="00A661B5">
            <w:pPr>
              <w:pStyle w:val="TableStyle2"/>
              <w:spacing w:line="480" w:lineRule="auto"/>
            </w:pPr>
            <w:r>
              <w:rPr>
                <w:sz w:val="18"/>
                <w:szCs w:val="18"/>
              </w:rPr>
              <w:t>The study's limitations include its narrow focus, excluding key aspects like new diagnostics and international collaboration, which are critical to comprehensive AMR management. The heavy reliance on stakeholder participation creates vulnerability if engagement wanes, and the use of unpublished data raises concerns about transparency and reliability. Moreover, the environmental dimension of AMR is underdeveloped despite the One Health framing, reducing the initiative's overall impact. Lastly, potential bias due to the study’s authorship by those involved in the project might result in an overemphasis on successes while downplaying challenges.</w:t>
            </w:r>
          </w:p>
        </w:tc>
      </w:tr>
    </w:tbl>
    <w:p w14:paraId="00544D78" w14:textId="77777777" w:rsidR="007D4146" w:rsidRDefault="007D4146" w:rsidP="007D4146">
      <w:pPr>
        <w:spacing w:line="480" w:lineRule="auto"/>
      </w:pPr>
    </w:p>
    <w:p w14:paraId="555592AB" w14:textId="77777777" w:rsidR="00DE6AE2" w:rsidRDefault="00DE6AE2"/>
    <w:sectPr w:rsidR="00DE6AE2" w:rsidSect="007D4146">
      <w:headerReference w:type="default" r:id="rId7"/>
      <w:footerReference w:type="even" r:id="rId8"/>
      <w:footerReference w:type="default" r:id="rId9"/>
      <w:pgSz w:w="11906" w:h="16838"/>
      <w:pgMar w:top="1134" w:right="1134" w:bottom="1134" w:left="1134" w:header="709" w:footer="850"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Helvetica Neue Medium">
    <w:altName w:val="Arial"/>
    <w:charset w:val="4D"/>
    <w:family w:val="swiss"/>
    <w:pitch w:val="variable"/>
    <w:sig w:usb0="A00002FF" w:usb1="5000205B" w:usb2="00000002"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81426"/>
      <w:docPartObj>
        <w:docPartGallery w:val="Page Numbers (Bottom of Page)"/>
        <w:docPartUnique/>
      </w:docPartObj>
    </w:sdtPr>
    <w:sdtContent>
      <w:p w14:paraId="3B22C2CC" w14:textId="77777777" w:rsidR="007D4146" w:rsidRDefault="007D4146" w:rsidP="002A45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97EAD2" w14:textId="77777777" w:rsidR="007D4146" w:rsidRDefault="007D4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4319016"/>
      <w:docPartObj>
        <w:docPartGallery w:val="Page Numbers (Bottom of Page)"/>
        <w:docPartUnique/>
      </w:docPartObj>
    </w:sdtPr>
    <w:sdtContent>
      <w:p w14:paraId="380A6290" w14:textId="77777777" w:rsidR="007D4146" w:rsidRDefault="007D4146" w:rsidP="002A45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173EE88" w14:textId="77777777" w:rsidR="007D4146" w:rsidRDefault="007D4146">
    <w:pPr>
      <w:pStyle w:val="HeaderFooter"/>
      <w:tabs>
        <w:tab w:val="clear" w:pos="9020"/>
        <w:tab w:val="center" w:pos="4819"/>
        <w:tab w:val="right" w:pos="9638"/>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9F54" w14:textId="77777777" w:rsidR="007D4146" w:rsidRDefault="007D41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146"/>
    <w:rsid w:val="00195413"/>
    <w:rsid w:val="003D0186"/>
    <w:rsid w:val="007278E4"/>
    <w:rsid w:val="0079083D"/>
    <w:rsid w:val="007D4146"/>
    <w:rsid w:val="00A3738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4FAE"/>
  <w15:chartTrackingRefBased/>
  <w15:docId w15:val="{BB17BDD5-C717-4917-8407-06E6A2C5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146"/>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14:ligatures w14:val="standardContextual"/>
    </w:rPr>
  </w:style>
  <w:style w:type="paragraph" w:styleId="Heading5">
    <w:name w:val="heading 5"/>
    <w:basedOn w:val="Normal"/>
    <w:next w:val="Normal"/>
    <w:link w:val="Heading5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14:ligatures w14:val="standardContextual"/>
    </w:rPr>
  </w:style>
  <w:style w:type="paragraph" w:styleId="Heading6">
    <w:name w:val="heading 6"/>
    <w:basedOn w:val="Normal"/>
    <w:next w:val="Normal"/>
    <w:link w:val="Heading6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14:ligatures w14:val="standardContextual"/>
    </w:rPr>
  </w:style>
  <w:style w:type="paragraph" w:styleId="Heading7">
    <w:name w:val="heading 7"/>
    <w:basedOn w:val="Normal"/>
    <w:next w:val="Normal"/>
    <w:link w:val="Heading7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14:ligatures w14:val="standardContextual"/>
    </w:rPr>
  </w:style>
  <w:style w:type="paragraph" w:styleId="Heading8">
    <w:name w:val="heading 8"/>
    <w:basedOn w:val="Normal"/>
    <w:next w:val="Normal"/>
    <w:link w:val="Heading8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paragraph" w:styleId="Heading9">
    <w:name w:val="heading 9"/>
    <w:basedOn w:val="Normal"/>
    <w:next w:val="Normal"/>
    <w:link w:val="Heading9Char"/>
    <w:uiPriority w:val="9"/>
    <w:semiHidden/>
    <w:unhideWhenUsed/>
    <w:qFormat/>
    <w:rsid w:val="007D41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1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1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1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1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1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146"/>
    <w:rPr>
      <w:rFonts w:eastAsiaTheme="majorEastAsia" w:cstheme="majorBidi"/>
      <w:color w:val="272727" w:themeColor="text1" w:themeTint="D8"/>
    </w:rPr>
  </w:style>
  <w:style w:type="paragraph" w:styleId="Title">
    <w:name w:val="Title"/>
    <w:basedOn w:val="Normal"/>
    <w:next w:val="Normal"/>
    <w:link w:val="TitleChar"/>
    <w:uiPriority w:val="10"/>
    <w:qFormat/>
    <w:rsid w:val="007D4146"/>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7D4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146"/>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7D4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146"/>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14:ligatures w14:val="standardContextual"/>
    </w:rPr>
  </w:style>
  <w:style w:type="character" w:customStyle="1" w:styleId="QuoteChar">
    <w:name w:val="Quote Char"/>
    <w:basedOn w:val="DefaultParagraphFont"/>
    <w:link w:val="Quote"/>
    <w:uiPriority w:val="29"/>
    <w:rsid w:val="007D4146"/>
    <w:rPr>
      <w:i/>
      <w:iCs/>
      <w:color w:val="404040" w:themeColor="text1" w:themeTint="BF"/>
    </w:rPr>
  </w:style>
  <w:style w:type="paragraph" w:styleId="ListParagraph">
    <w:name w:val="List Paragraph"/>
    <w:basedOn w:val="Normal"/>
    <w:uiPriority w:val="34"/>
    <w:qFormat/>
    <w:rsid w:val="007D4146"/>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IntenseEmphasis">
    <w:name w:val="Intense Emphasis"/>
    <w:basedOn w:val="DefaultParagraphFont"/>
    <w:uiPriority w:val="21"/>
    <w:qFormat/>
    <w:rsid w:val="007D4146"/>
    <w:rPr>
      <w:i/>
      <w:iCs/>
      <w:color w:val="0F4761" w:themeColor="accent1" w:themeShade="BF"/>
    </w:rPr>
  </w:style>
  <w:style w:type="paragraph" w:styleId="IntenseQuote">
    <w:name w:val="Intense Quote"/>
    <w:basedOn w:val="Normal"/>
    <w:next w:val="Normal"/>
    <w:link w:val="IntenseQuoteChar"/>
    <w:uiPriority w:val="30"/>
    <w:qFormat/>
    <w:rsid w:val="007D4146"/>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14:ligatures w14:val="standardContextual"/>
    </w:rPr>
  </w:style>
  <w:style w:type="character" w:customStyle="1" w:styleId="IntenseQuoteChar">
    <w:name w:val="Intense Quote Char"/>
    <w:basedOn w:val="DefaultParagraphFont"/>
    <w:link w:val="IntenseQuote"/>
    <w:uiPriority w:val="30"/>
    <w:rsid w:val="007D4146"/>
    <w:rPr>
      <w:i/>
      <w:iCs/>
      <w:color w:val="0F4761" w:themeColor="accent1" w:themeShade="BF"/>
    </w:rPr>
  </w:style>
  <w:style w:type="character" w:styleId="IntenseReference">
    <w:name w:val="Intense Reference"/>
    <w:basedOn w:val="DefaultParagraphFont"/>
    <w:uiPriority w:val="32"/>
    <w:qFormat/>
    <w:rsid w:val="007D4146"/>
    <w:rPr>
      <w:b/>
      <w:bCs/>
      <w:smallCaps/>
      <w:color w:val="0F4761" w:themeColor="accent1" w:themeShade="BF"/>
      <w:spacing w:val="5"/>
    </w:rPr>
  </w:style>
  <w:style w:type="character" w:styleId="Hyperlink">
    <w:name w:val="Hyperlink"/>
    <w:rsid w:val="007D4146"/>
    <w:rPr>
      <w:u w:val="single"/>
    </w:rPr>
  </w:style>
  <w:style w:type="paragraph" w:customStyle="1" w:styleId="HeaderFooter">
    <w:name w:val="Header &amp; Footer"/>
    <w:rsid w:val="007D414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val="en-GB" w:eastAsia="en-GB"/>
      <w14:textOutline w14:w="0" w14:cap="flat" w14:cmpd="sng" w14:algn="ctr">
        <w14:noFill/>
        <w14:prstDash w14:val="solid"/>
        <w14:bevel/>
      </w14:textOutline>
      <w14:ligatures w14:val="none"/>
    </w:rPr>
  </w:style>
  <w:style w:type="paragraph" w:customStyle="1" w:styleId="Default">
    <w:name w:val="Default"/>
    <w:rsid w:val="007D414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eastAsia="en-GB"/>
      <w14:textOutline w14:w="0" w14:cap="flat" w14:cmpd="sng" w14:algn="ctr">
        <w14:noFill/>
        <w14:prstDash w14:val="solid"/>
        <w14:bevel/>
      </w14:textOutline>
      <w14:ligatures w14:val="none"/>
    </w:rPr>
  </w:style>
  <w:style w:type="paragraph" w:customStyle="1" w:styleId="TableStyle7">
    <w:name w:val="Table Style 7"/>
    <w:rsid w:val="007D4146"/>
    <w:pPr>
      <w:pBdr>
        <w:top w:val="nil"/>
        <w:left w:val="nil"/>
        <w:bottom w:val="nil"/>
        <w:right w:val="nil"/>
        <w:between w:val="nil"/>
        <w:bar w:val="nil"/>
      </w:pBdr>
      <w:spacing w:after="0" w:line="240" w:lineRule="auto"/>
    </w:pPr>
    <w:rPr>
      <w:rFonts w:ascii="Helvetica Neue" w:eastAsia="Helvetica Neue" w:hAnsi="Helvetica Neue" w:cs="Helvetica Neue"/>
      <w:b/>
      <w:bCs/>
      <w:color w:val="323232"/>
      <w:kern w:val="0"/>
      <w:sz w:val="20"/>
      <w:szCs w:val="20"/>
      <w:bdr w:val="nil"/>
      <w:lang w:val="en-GB" w:eastAsia="en-GB"/>
      <w14:textOutline w14:w="0" w14:cap="flat" w14:cmpd="sng" w14:algn="ctr">
        <w14:noFill/>
        <w14:prstDash w14:val="solid"/>
        <w14:bevel/>
      </w14:textOutline>
      <w14:ligatures w14:val="none"/>
    </w:rPr>
  </w:style>
  <w:style w:type="paragraph" w:customStyle="1" w:styleId="TableStyle2">
    <w:name w:val="Table Style 2"/>
    <w:rsid w:val="007D4146"/>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0"/>
      <w:szCs w:val="20"/>
      <w:bdr w:val="nil"/>
      <w:lang w:val="en-GB" w:eastAsia="en-GB"/>
      <w14:textOutline w14:w="0" w14:cap="flat" w14:cmpd="sng" w14:algn="ctr">
        <w14:noFill/>
        <w14:prstDash w14:val="solid"/>
        <w14:bevel/>
      </w14:textOutline>
      <w14:ligatures w14:val="none"/>
    </w:rPr>
  </w:style>
  <w:style w:type="paragraph" w:customStyle="1" w:styleId="TableStyle6">
    <w:name w:val="Table Style 6"/>
    <w:rsid w:val="007D4146"/>
    <w:pPr>
      <w:keepLines/>
      <w:pBdr>
        <w:top w:val="nil"/>
        <w:left w:val="nil"/>
        <w:bottom w:val="nil"/>
        <w:right w:val="nil"/>
        <w:between w:val="nil"/>
        <w:bar w:val="nil"/>
      </w:pBdr>
      <w:spacing w:after="0" w:line="240" w:lineRule="auto"/>
    </w:pPr>
    <w:rPr>
      <w:rFonts w:ascii="Helvetica Neue Medium" w:eastAsia="Helvetica Neue Medium" w:hAnsi="Helvetica Neue Medium" w:cs="Helvetica Neue Medium"/>
      <w:color w:val="323232"/>
      <w:kern w:val="0"/>
      <w:sz w:val="20"/>
      <w:szCs w:val="20"/>
      <w:bdr w:val="nil"/>
      <w:lang w:val="en-GB" w:eastAsia="en-GB"/>
      <w14:textOutline w14:w="0" w14:cap="flat" w14:cmpd="sng" w14:algn="ctr">
        <w14:noFill/>
        <w14:prstDash w14:val="solid"/>
        <w14:bevel/>
      </w14:textOutline>
      <w14:ligatures w14:val="none"/>
    </w:rPr>
  </w:style>
  <w:style w:type="character" w:customStyle="1" w:styleId="None">
    <w:name w:val="None"/>
    <w:rsid w:val="007D4146"/>
  </w:style>
  <w:style w:type="paragraph" w:styleId="Footer">
    <w:name w:val="footer"/>
    <w:basedOn w:val="Normal"/>
    <w:link w:val="FooterChar"/>
    <w:uiPriority w:val="99"/>
    <w:unhideWhenUsed/>
    <w:rsid w:val="007D4146"/>
    <w:pPr>
      <w:tabs>
        <w:tab w:val="center" w:pos="4513"/>
        <w:tab w:val="right" w:pos="9026"/>
      </w:tabs>
    </w:pPr>
  </w:style>
  <w:style w:type="character" w:customStyle="1" w:styleId="FooterChar">
    <w:name w:val="Footer Char"/>
    <w:basedOn w:val="DefaultParagraphFont"/>
    <w:link w:val="Footer"/>
    <w:uiPriority w:val="99"/>
    <w:rsid w:val="007D4146"/>
    <w:rPr>
      <w:rFonts w:ascii="Times New Roman" w:eastAsia="Arial Unicode MS" w:hAnsi="Times New Roman" w:cs="Times New Roman"/>
      <w:kern w:val="0"/>
      <w:bdr w:val="nil"/>
      <w14:ligatures w14:val="none"/>
    </w:rPr>
  </w:style>
  <w:style w:type="character" w:styleId="PageNumber">
    <w:name w:val="page number"/>
    <w:basedOn w:val="DefaultParagraphFont"/>
    <w:uiPriority w:val="99"/>
    <w:semiHidden/>
    <w:unhideWhenUsed/>
    <w:rsid w:val="007D4146"/>
  </w:style>
  <w:style w:type="character" w:styleId="LineNumber">
    <w:name w:val="line number"/>
    <w:basedOn w:val="DefaultParagraphFont"/>
    <w:uiPriority w:val="99"/>
    <w:semiHidden/>
    <w:unhideWhenUsed/>
    <w:rsid w:val="007D4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xedmethodsappraisaltoolpublic.pbworks.com/w/file/fetch/127916259/MMAT_2018_criteria-manual_2018-08-01_ENG.pdf"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1825</Words>
  <Characters>10403</Characters>
  <Application>Microsoft Office Word</Application>
  <DocSecurity>0</DocSecurity>
  <Lines>86</Lines>
  <Paragraphs>24</Paragraphs>
  <ScaleCrop>false</ScaleCrop>
  <Company>Springer Nature</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2026-06-02T04:38:00Z</dcterms:created>
  <dcterms:modified xsi:type="dcterms:W3CDTF">2026-06-02T04:39:00Z</dcterms:modified>
</cp:coreProperties>
</file>