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B7B9C" w14:textId="77777777" w:rsidR="002226FE" w:rsidRPr="00117CD7" w:rsidRDefault="002226FE" w:rsidP="002226FE">
      <w:pPr>
        <w:wordWrap/>
        <w:adjustRightInd w:val="0"/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94DA3">
        <w:rPr>
          <w:rFonts w:ascii="Times New Roman" w:hAnsi="Times New Roman" w:cs="Times New Roman"/>
          <w:b/>
          <w:bCs/>
          <w:sz w:val="24"/>
          <w:szCs w:val="24"/>
        </w:rPr>
        <w:t>Table 1.</w:t>
      </w:r>
      <w:r w:rsidRPr="00494DA3">
        <w:rPr>
          <w:rFonts w:ascii="Times New Roman" w:hAnsi="Times New Roman" w:cs="Times New Roman"/>
          <w:sz w:val="24"/>
          <w:szCs w:val="24"/>
        </w:rPr>
        <w:t xml:space="preserve"> </w:t>
      </w:r>
      <w:r w:rsidRPr="000A7C7C">
        <w:rPr>
          <w:rFonts w:ascii="Times New Roman" w:hAnsi="Times New Roman" w:cs="Times New Roman"/>
          <w:sz w:val="24"/>
          <w:szCs w:val="24"/>
        </w:rPr>
        <w:t>Baseline characteristics of patients according to dressing type</w:t>
      </w:r>
    </w:p>
    <w:tbl>
      <w:tblPr>
        <w:tblStyle w:val="PlainTable2"/>
        <w:tblpPr w:leftFromText="142" w:rightFromText="142" w:vertAnchor="text" w:horzAnchor="margin" w:tblpY="285"/>
        <w:tblW w:w="0" w:type="auto"/>
        <w:tblLook w:val="04A0" w:firstRow="1" w:lastRow="0" w:firstColumn="1" w:lastColumn="0" w:noHBand="0" w:noVBand="1"/>
      </w:tblPr>
      <w:tblGrid>
        <w:gridCol w:w="3119"/>
        <w:gridCol w:w="2409"/>
        <w:gridCol w:w="2410"/>
        <w:gridCol w:w="1085"/>
      </w:tblGrid>
      <w:tr w:rsidR="002226FE" w:rsidRPr="00117CD7" w14:paraId="57CD524F" w14:textId="77777777" w:rsidTr="008E61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6F203CF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16279596"/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Demographic measure</w:t>
            </w:r>
          </w:p>
        </w:tc>
        <w:tc>
          <w:tcPr>
            <w:tcW w:w="2409" w:type="dxa"/>
          </w:tcPr>
          <w:p w14:paraId="6D890B04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DACC dressing group (n = 22)</w:t>
            </w:r>
          </w:p>
        </w:tc>
        <w:tc>
          <w:tcPr>
            <w:tcW w:w="2410" w:type="dxa"/>
          </w:tcPr>
          <w:p w14:paraId="3D788B18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Standard dressing group (n = 28)</w:t>
            </w:r>
          </w:p>
        </w:tc>
        <w:tc>
          <w:tcPr>
            <w:tcW w:w="1085" w:type="dxa"/>
          </w:tcPr>
          <w:p w14:paraId="547CEE43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2226FE" w:rsidRPr="00117CD7" w14:paraId="5C89F3DA" w14:textId="77777777" w:rsidTr="008E61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ADB95F5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 median</w:t>
            </w: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IQR</w:t>
            </w: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514E278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Male sex</w:t>
            </w:r>
          </w:p>
          <w:p w14:paraId="1D410936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Diabetic</w:t>
            </w:r>
          </w:p>
          <w:p w14:paraId="630B1A82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  <w:p w14:paraId="3C04C86A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Smoking status</w:t>
            </w:r>
          </w:p>
          <w:p w14:paraId="1E896686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Ever smoked</w:t>
            </w:r>
          </w:p>
          <w:p w14:paraId="182ED842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Current smoker</w:t>
            </w:r>
          </w:p>
          <w:p w14:paraId="582B0A95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1CF39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Operation</w:t>
            </w:r>
          </w:p>
          <w:p w14:paraId="25B77010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PPPD</w:t>
            </w:r>
          </w:p>
          <w:p w14:paraId="0952CBB1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DP</w:t>
            </w:r>
          </w:p>
          <w:p w14:paraId="485CE96B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TP</w:t>
            </w:r>
          </w:p>
          <w:p w14:paraId="2F73767A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Transduodenal ampullectomy</w:t>
            </w:r>
          </w:p>
          <w:p w14:paraId="7B950088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Pancreaticojejunostomy</w:t>
            </w:r>
          </w:p>
          <w:p w14:paraId="1E4255EC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70397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  <w:p w14:paraId="4681B549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Robot</w:t>
            </w:r>
          </w:p>
          <w:p w14:paraId="79148E0E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Laparoscopic</w:t>
            </w:r>
          </w:p>
          <w:p w14:paraId="249A9571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3C852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ASA grade</w:t>
            </w:r>
          </w:p>
          <w:p w14:paraId="6408DB70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ASA 1</w:t>
            </w:r>
          </w:p>
          <w:p w14:paraId="42D735DF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ASA 2</w:t>
            </w:r>
          </w:p>
          <w:p w14:paraId="553A9237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ASA 3</w:t>
            </w:r>
          </w:p>
          <w:p w14:paraId="43081887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1D700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PNI</w:t>
            </w:r>
          </w:p>
          <w:p w14:paraId="63C1DA50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 xml:space="preserve">  Normal (</w:t>
            </w:r>
            <w:r w:rsidRPr="00494DA3">
              <w:rPr>
                <w:rFonts w:ascii="Times New Roman" w:hAnsi="Times New Roman" w:cs="Times New Roman" w:hint="eastAsia"/>
                <w:sz w:val="24"/>
                <w:szCs w:val="24"/>
              </w:rPr>
              <w:t>≥</w:t>
            </w: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 xml:space="preserve"> 38)</w:t>
            </w:r>
          </w:p>
          <w:p w14:paraId="1EE11B90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Moderate (35–37.9)</w:t>
            </w:r>
          </w:p>
          <w:p w14:paraId="3CEB1763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 xml:space="preserve">  Severe (&lt; 35)</w:t>
            </w:r>
          </w:p>
          <w:p w14:paraId="21ED1406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CONUT score</w:t>
            </w:r>
          </w:p>
          <w:p w14:paraId="1F25E29A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Normal (0–1)</w:t>
            </w:r>
          </w:p>
          <w:p w14:paraId="0B72FF2C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Mild (2–4)</w:t>
            </w:r>
          </w:p>
          <w:p w14:paraId="55B3EA90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Moderate (5–8)</w:t>
            </w:r>
          </w:p>
          <w:p w14:paraId="723A7D43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Severe(9–12)</w:t>
            </w:r>
          </w:p>
        </w:tc>
        <w:tc>
          <w:tcPr>
            <w:tcW w:w="2409" w:type="dxa"/>
          </w:tcPr>
          <w:p w14:paraId="48E46335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 (26–87)</w:t>
            </w:r>
          </w:p>
          <w:p w14:paraId="7CBEC96F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3E4297B8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1BC33301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23.3 (17.2–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8.2)</w:t>
            </w:r>
          </w:p>
          <w:p w14:paraId="2A8879F1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ADE74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BF4E20E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4/6</w:t>
            </w:r>
          </w:p>
          <w:p w14:paraId="6C910BB9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BB3D7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F0DDC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55B360BA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5D929510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B6D6A51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F9487A9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516E4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9EC0105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FEEA4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68A2CA8A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840FC7B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022C731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0415F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8B78D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34465C83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0A57E197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87602B8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334C6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42.0 (36–48)</w:t>
            </w:r>
          </w:p>
          <w:p w14:paraId="1D1C40EF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5FF3E2B8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2A4D9B24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E4575F0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14:paraId="49CA6B6D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75881C85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1BB180D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1965669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7F7DA9A6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 (41–78)</w:t>
            </w:r>
          </w:p>
          <w:p w14:paraId="12E23C4A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0C2F946A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185D5C75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23.8 (17.2–32.3)</w:t>
            </w:r>
          </w:p>
          <w:p w14:paraId="50B0C5F3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6E620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25D73437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4/9</w:t>
            </w:r>
          </w:p>
          <w:p w14:paraId="4BFAEC9C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3F336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656F3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2F629DB1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5485AFA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3D71431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D2E80E2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312EE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2C9EA1D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7101C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70A1D723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BC7592C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9B49F68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4625A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DDD0E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14:paraId="6F262B10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14:paraId="264F01DF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400781A2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4F179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40.9 (30–47)</w:t>
            </w:r>
          </w:p>
          <w:p w14:paraId="07B0B60E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2144FDBF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EC746E0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DF6EBF2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  <w:p w14:paraId="34C68466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3ED1FCAB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18D70E21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D45D1F2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</w:tcPr>
          <w:p w14:paraId="4A93EF1B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8AF82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0.8898</w:t>
            </w:r>
          </w:p>
          <w:p w14:paraId="0781D9C2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0.6690</w:t>
            </w:r>
          </w:p>
          <w:p w14:paraId="1B8B9E8D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0.5361</w:t>
            </w:r>
          </w:p>
          <w:p w14:paraId="564E4E1B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73535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0.9504</w:t>
            </w:r>
          </w:p>
          <w:p w14:paraId="3660EC19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1.0000</w:t>
            </w:r>
          </w:p>
          <w:p w14:paraId="3F4E5D9D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A2468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0.1620</w:t>
            </w:r>
          </w:p>
          <w:p w14:paraId="4F03717D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59BBB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42E2D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C34A2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C2535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C53EB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C4D56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FDCE5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A1264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02799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BE4F0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A822F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0.2618</w:t>
            </w:r>
          </w:p>
          <w:p w14:paraId="26312B5A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8F336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73E73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3A7D5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A58FE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0.2688</w:t>
            </w:r>
          </w:p>
          <w:p w14:paraId="2AE4CE1C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3C6BD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C0DD6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BA807" w14:textId="77777777" w:rsidR="002226FE" w:rsidRPr="00494DA3" w:rsidRDefault="002226FE" w:rsidP="008E6111">
            <w:pPr>
              <w:wordWrap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DA3">
              <w:rPr>
                <w:rFonts w:ascii="Times New Roman" w:hAnsi="Times New Roman" w:cs="Times New Roman"/>
                <w:sz w:val="24"/>
                <w:szCs w:val="24"/>
              </w:rPr>
              <w:t>0.3947</w:t>
            </w:r>
          </w:p>
        </w:tc>
      </w:tr>
    </w:tbl>
    <w:bookmarkEnd w:id="0"/>
    <w:p w14:paraId="335CCDD5" w14:textId="77777777" w:rsidR="002226FE" w:rsidRPr="00117CD7" w:rsidRDefault="002226FE" w:rsidP="002226FE">
      <w:pPr>
        <w:wordWrap/>
        <w:adjustRightInd w:val="0"/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F5D73">
        <w:rPr>
          <w:rFonts w:ascii="Times New Roman" w:hAnsi="Times New Roman" w:cs="Times New Roman"/>
          <w:sz w:val="24"/>
          <w:szCs w:val="24"/>
        </w:rPr>
        <w:lastRenderedPageBreak/>
        <w:t>Data are presented as median (interquartile range) or number (%).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0B2C">
        <w:rPr>
          <w:rFonts w:ascii="Times New Roman" w:hAnsi="Times New Roman" w:cs="Times New Roman"/>
          <w:sz w:val="24"/>
          <w:szCs w:val="24"/>
        </w:rPr>
        <w:t>Comparisons between groups were performed using the Mann–Whitney U test for continuous variables and the chi-square or Fisher’s exact test for categorical variables.</w:t>
      </w:r>
      <w:r w:rsidRPr="005F5D73">
        <w:rPr>
          <w:rFonts w:ascii="Times New Roman" w:hAnsi="Times New Roman" w:cs="Times New Roman"/>
          <w:sz w:val="24"/>
          <w:szCs w:val="24"/>
        </w:rPr>
        <w:br/>
        <w:t>*p &lt; 0.05 was considered statistically significant.</w:t>
      </w:r>
      <w:r w:rsidRPr="005F5D73">
        <w:rPr>
          <w:rFonts w:ascii="Times New Roman" w:hAnsi="Times New Roman" w:cs="Times New Roman"/>
          <w:sz w:val="24"/>
          <w:szCs w:val="24"/>
        </w:rPr>
        <w:br/>
      </w:r>
      <w:r w:rsidRPr="00A078A0">
        <w:rPr>
          <w:rFonts w:ascii="Times New Roman" w:hAnsi="Times New Roman" w:cs="Times New Roman"/>
          <w:sz w:val="24"/>
          <w:szCs w:val="24"/>
        </w:rPr>
        <w:t>BMI, body mass index; PPPD, pylorus-preserving pancreaticoduodenectomy; TP, total pancreatectomy; PNI, prognostic nutritional index; CONUT, controlling nutritional status.</w:t>
      </w:r>
    </w:p>
    <w:p w14:paraId="0A5143D7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6FE"/>
    <w:rsid w:val="000C4033"/>
    <w:rsid w:val="00173ED8"/>
    <w:rsid w:val="002226FE"/>
    <w:rsid w:val="00271AD6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091B8"/>
  <w15:chartTrackingRefBased/>
  <w15:docId w15:val="{907FE8D3-7539-4869-AFC2-F136A77D9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6FE"/>
    <w:pPr>
      <w:widowControl w:val="0"/>
      <w:wordWrap w:val="0"/>
      <w:autoSpaceDE w:val="0"/>
      <w:autoSpaceDN w:val="0"/>
      <w:spacing w:line="259" w:lineRule="auto"/>
      <w:jc w:val="both"/>
    </w:pPr>
    <w:rPr>
      <w:rFonts w:eastAsiaTheme="minorEastAsia"/>
      <w:sz w:val="20"/>
      <w:szCs w:val="22"/>
      <w:lang w:val="en-US"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26FE"/>
    <w:pPr>
      <w:keepNext/>
      <w:keepLines/>
      <w:widowControl/>
      <w:wordWrap/>
      <w:autoSpaceDE/>
      <w:autoSpaceDN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26FE"/>
    <w:pPr>
      <w:keepNext/>
      <w:keepLines/>
      <w:widowControl/>
      <w:wordWrap/>
      <w:autoSpaceDE/>
      <w:autoSpaceDN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6FE"/>
    <w:pPr>
      <w:keepNext/>
      <w:keepLines/>
      <w:widowControl/>
      <w:wordWrap/>
      <w:autoSpaceDE/>
      <w:autoSpaceDN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26FE"/>
    <w:pPr>
      <w:keepNext/>
      <w:keepLines/>
      <w:widowControl/>
      <w:wordWrap/>
      <w:autoSpaceDE/>
      <w:autoSpaceDN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26FE"/>
    <w:pPr>
      <w:keepNext/>
      <w:keepLines/>
      <w:widowControl/>
      <w:wordWrap/>
      <w:autoSpaceDE/>
      <w:autoSpaceDN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26FE"/>
    <w:pPr>
      <w:keepNext/>
      <w:keepLines/>
      <w:widowControl/>
      <w:wordWrap/>
      <w:autoSpaceDE/>
      <w:autoSpaceDN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26FE"/>
    <w:pPr>
      <w:keepNext/>
      <w:keepLines/>
      <w:widowControl/>
      <w:wordWrap/>
      <w:autoSpaceDE/>
      <w:autoSpaceDN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26FE"/>
    <w:pPr>
      <w:keepNext/>
      <w:keepLines/>
      <w:widowControl/>
      <w:wordWrap/>
      <w:autoSpaceDE/>
      <w:autoSpaceDN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26FE"/>
    <w:pPr>
      <w:keepNext/>
      <w:keepLines/>
      <w:widowControl/>
      <w:wordWrap/>
      <w:autoSpaceDE/>
      <w:autoSpaceDN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26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26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26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26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26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26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26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26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26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26FE"/>
    <w:pPr>
      <w:widowControl/>
      <w:wordWrap/>
      <w:autoSpaceDE/>
      <w:autoSpaceDN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226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26FE"/>
    <w:pPr>
      <w:widowControl/>
      <w:numPr>
        <w:ilvl w:val="1"/>
      </w:numPr>
      <w:wordWrap/>
      <w:autoSpaceDE/>
      <w:autoSpaceDN/>
      <w:spacing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226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26FE"/>
    <w:pPr>
      <w:widowControl/>
      <w:wordWrap/>
      <w:autoSpaceDE/>
      <w:autoSpaceDN/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226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26FE"/>
    <w:pPr>
      <w:widowControl/>
      <w:wordWrap/>
      <w:autoSpaceDE/>
      <w:autoSpaceDN/>
      <w:spacing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226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26F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26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26FE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2226FE"/>
    <w:pPr>
      <w:spacing w:after="0" w:line="240" w:lineRule="auto"/>
      <w:jc w:val="both"/>
    </w:pPr>
    <w:rPr>
      <w:rFonts w:eastAsiaTheme="minorEastAsia"/>
      <w:sz w:val="20"/>
      <w:szCs w:val="22"/>
      <w:lang w:val="en-US" w:eastAsia="ko-KR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2026-08-03T16:59:00Z</dcterms:created>
  <dcterms:modified xsi:type="dcterms:W3CDTF">2026-08-03T16:59:00Z</dcterms:modified>
</cp:coreProperties>
</file>