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E9F9" w14:textId="77777777" w:rsidR="00E64EAD" w:rsidRPr="006C7759" w:rsidRDefault="00E64EAD" w:rsidP="00E64EAD">
      <w:pPr>
        <w:pStyle w:val="Heading2"/>
        <w:rPr>
          <w:rFonts w:ascii="Calibri" w:hAnsi="Calibri" w:cs="Calibri"/>
        </w:rPr>
      </w:pPr>
      <w:bookmarkStart w:id="0" w:name="supplementary-figure-legends"/>
      <w:r>
        <w:rPr>
          <w:rFonts w:ascii="Calibri" w:hAnsi="Calibri" w:cs="Calibri"/>
        </w:rPr>
        <w:t xml:space="preserve">Supplementary </w:t>
      </w:r>
      <w:r>
        <w:rPr>
          <w:rFonts w:ascii="Calibri" w:hAnsi="Calibri" w:cs="Calibri"/>
          <w:lang w:bidi="he-IL"/>
        </w:rPr>
        <w:t>Tables</w:t>
      </w:r>
      <w:r>
        <w:rPr>
          <w:rFonts w:ascii="Calibri" w:hAnsi="Calibri" w:cs="Calibri"/>
        </w:rPr>
        <w:t xml:space="preserve"> </w:t>
      </w:r>
    </w:p>
    <w:p w14:paraId="790BD909" w14:textId="77777777" w:rsidR="00E64EAD" w:rsidRPr="006C7759" w:rsidRDefault="00E64EAD" w:rsidP="00E64EAD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bidi="he-IL"/>
        </w:rPr>
        <w:t>Supplementary Table S1.</w:t>
      </w:r>
      <w:r>
        <w:rPr>
          <w:rFonts w:ascii="Calibri" w:hAnsi="Calibri" w:cs="Calibri"/>
          <w:lang w:bidi="he-IL"/>
        </w:rPr>
        <w:t xml:space="preserve"> </w:t>
      </w:r>
      <w:r>
        <w:rPr>
          <w:rFonts w:ascii="Calibri" w:hAnsi="Calibri" w:cs="Calibri"/>
        </w:rPr>
        <w:t>Full Cox model coefficients for the combined model at the 6-month landmark.</w:t>
      </w:r>
    </w:p>
    <w:p w14:paraId="56921778" w14:textId="77777777" w:rsidR="00E64EAD" w:rsidRPr="006C7759" w:rsidRDefault="00E64EAD" w:rsidP="00E64EAD">
      <w:pPr>
        <w:pStyle w:val="BodyText"/>
        <w:rPr>
          <w:rFonts w:ascii="Calibri" w:hAnsi="Calibri" w:cs="Calibri"/>
          <w:rtl/>
          <w:lang w:bidi="he-IL"/>
        </w:rPr>
      </w:pPr>
      <w:r>
        <w:rPr>
          <w:rFonts w:ascii="Calibri" w:hAnsi="Calibri" w:cs="Calibri"/>
          <w:noProof/>
          <w:lang w:bidi="he-IL"/>
        </w:rPr>
        <w:drawing>
          <wp:inline distT="0" distB="0" distL="0" distR="0" wp14:anchorId="0E7BA4AE" wp14:editId="38696015">
            <wp:extent cx="5943600" cy="4606290"/>
            <wp:effectExtent l="0" t="0" r="0" b="3810"/>
            <wp:docPr id="1273871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717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B3155" w14:textId="77777777" w:rsidR="00E64EAD" w:rsidRDefault="00E64EAD" w:rsidP="00E64EAD">
      <w:pPr>
        <w:rPr>
          <w:rFonts w:ascii="Calibri" w:eastAsiaTheme="majorEastAsia" w:hAnsi="Calibri" w:cs="Calibri"/>
          <w:b/>
          <w:bCs/>
          <w:color w:val="156082" w:themeColor="accent1"/>
          <w:sz w:val="28"/>
          <w:szCs w:val="28"/>
        </w:rPr>
      </w:pPr>
      <w:r>
        <w:rPr>
          <w:rFonts w:ascii="Calibri" w:hAnsi="Calibri" w:cs="Calibri"/>
        </w:rPr>
        <w:br w:type="page"/>
      </w:r>
    </w:p>
    <w:p w14:paraId="05C06273" w14:textId="77777777" w:rsidR="00E64EAD" w:rsidRPr="006C7759" w:rsidRDefault="00E64EAD" w:rsidP="00E64EAD">
      <w:pPr>
        <w:pStyle w:val="Heading2"/>
        <w:rPr>
          <w:rFonts w:ascii="Calibri" w:hAnsi="Calibri" w:cs="Calibri"/>
          <w:lang w:bidi="he-IL"/>
        </w:rPr>
      </w:pPr>
      <w:r>
        <w:rPr>
          <w:rFonts w:ascii="Calibri" w:hAnsi="Calibri" w:cs="Calibri"/>
        </w:rPr>
        <w:lastRenderedPageBreak/>
        <w:t>Supplementary Figures</w:t>
      </w:r>
    </w:p>
    <w:p w14:paraId="408D7DB7" w14:textId="77777777" w:rsidR="00E64EAD" w:rsidRDefault="00E64EAD" w:rsidP="00E64EAD">
      <w:pPr>
        <w:pStyle w:val="FirstParagraph"/>
        <w:rPr>
          <w:rFonts w:ascii="Calibri" w:hAnsi="Calibri" w:cs="Calibri"/>
          <w:b/>
          <w:bCs/>
        </w:rPr>
      </w:pPr>
    </w:p>
    <w:p w14:paraId="0F1CA834" w14:textId="77777777" w:rsidR="00E64EAD" w:rsidRDefault="00E64EAD" w:rsidP="00E64EAD">
      <w:pPr>
        <w:pStyle w:val="FirstParagrap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3D97DA4C" wp14:editId="059E7931">
            <wp:extent cx="2157499" cy="2059536"/>
            <wp:effectExtent l="0" t="0" r="1905" b="0"/>
            <wp:docPr id="975566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6658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6929" cy="208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9ABF" w14:textId="77777777" w:rsidR="00E64EAD" w:rsidRDefault="00E64EAD" w:rsidP="00E64EAD">
      <w:pPr>
        <w:pStyle w:val="FirstParagrap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Supplementary Figure S1.</w:t>
      </w:r>
      <w:r>
        <w:rPr>
          <w:rFonts w:ascii="Calibri" w:hAnsi="Calibri" w:cs="Calibri"/>
        </w:rPr>
        <w:t xml:space="preserve"> Kaplan-Meier curves for burden trajectory classification at 6-month landmark (Stable/Decreasing, Stable, Variable, Increasing).</w:t>
      </w:r>
    </w:p>
    <w:p w14:paraId="5CD672A4" w14:textId="77777777" w:rsidR="00E64EAD" w:rsidRPr="005A25E0" w:rsidRDefault="00E64EAD" w:rsidP="00E64EAD">
      <w:pPr>
        <w:pStyle w:val="BodyText"/>
      </w:pPr>
    </w:p>
    <w:p w14:paraId="29F8F4F1" w14:textId="77777777" w:rsidR="00E64EAD" w:rsidRDefault="00E64EAD" w:rsidP="00E64EAD">
      <w:pPr>
        <w:pStyle w:val="BodyTex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2B9C0FA3" wp14:editId="1D10BAF5">
            <wp:extent cx="2153540" cy="2055756"/>
            <wp:effectExtent l="0" t="0" r="5715" b="1905"/>
            <wp:docPr id="567990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907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2579" cy="208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98297" w14:textId="77777777" w:rsidR="00E64EAD" w:rsidRDefault="00E64EAD" w:rsidP="00E64EAD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Supplementary Figure S2.</w:t>
      </w:r>
      <w:r>
        <w:rPr>
          <w:rFonts w:ascii="Calibri" w:hAnsi="Calibri" w:cs="Calibri"/>
        </w:rPr>
        <w:t xml:space="preserve"> Kaplan-Meier curves for ECOG trajectory classification at 6-month landmark (Stable, Improving, Variable, Declining).</w:t>
      </w:r>
    </w:p>
    <w:p w14:paraId="0973A7CF" w14:textId="77777777" w:rsidR="00E64EAD" w:rsidRPr="006C7759" w:rsidRDefault="00E64EAD" w:rsidP="00E64EAD">
      <w:pPr>
        <w:pStyle w:val="BodyText"/>
        <w:rPr>
          <w:rFonts w:ascii="Calibri" w:hAnsi="Calibri" w:cs="Calibri"/>
        </w:rPr>
      </w:pPr>
    </w:p>
    <w:p w14:paraId="34F97895" w14:textId="77777777" w:rsidR="00E64EAD" w:rsidRDefault="00E64EAD" w:rsidP="00E64EAD">
      <w:pPr>
        <w:pStyle w:val="BodyTex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25E0FB35" wp14:editId="4311EE8E">
            <wp:extent cx="5943600" cy="2205355"/>
            <wp:effectExtent l="0" t="0" r="0" b="4445"/>
            <wp:docPr id="702041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416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3B170" w14:textId="77777777" w:rsidR="00E64EAD" w:rsidRDefault="00E64EAD" w:rsidP="00E64EAD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Supplementary Figure S</w:t>
      </w:r>
      <w:r>
        <w:rPr>
          <w:rFonts w:ascii="Calibri" w:hAnsi="Calibri" w:cs="Calibri"/>
          <w:b/>
          <w:bCs/>
          <w:rtl/>
          <w:lang w:bidi="he-IL"/>
        </w:rPr>
        <w:t>3</w:t>
      </w:r>
      <w:r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</w:rPr>
        <w:t xml:space="preserve"> Risk group characterization: (a) driver mutation frequencies, (b) baseline clinical features</w:t>
      </w:r>
      <w:bookmarkEnd w:id="0"/>
    </w:p>
    <w:p w14:paraId="7A0AF033" w14:textId="77777777" w:rsidR="00E64EAD" w:rsidRDefault="00E64EAD" w:rsidP="00E64EAD">
      <w:pPr>
        <w:pStyle w:val="BodyText"/>
        <w:rPr>
          <w:rFonts w:ascii="Calibri" w:hAnsi="Calibri" w:cs="Calibri"/>
        </w:rPr>
      </w:pPr>
    </w:p>
    <w:p w14:paraId="10ADBE8E" w14:textId="77777777" w:rsidR="00E64EAD" w:rsidRDefault="00E64EAD" w:rsidP="00E64EAD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1F9904F" wp14:editId="7E21EE8D">
            <wp:extent cx="5943600" cy="2906395"/>
            <wp:effectExtent l="0" t="0" r="0" b="1905"/>
            <wp:docPr id="326914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144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401F5" w14:textId="77777777" w:rsidR="00E64EAD" w:rsidRPr="00560149" w:rsidRDefault="00E64EAD" w:rsidP="00E64EAD">
      <w:pPr>
        <w:pStyle w:val="BodyTex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Supplementary Figure S4. Robustness of trajectory independence.</w:t>
      </w:r>
      <w:r>
        <w:rPr>
          <w:rFonts w:ascii="Calibri" w:hAnsi="Calibri" w:cs="Calibri"/>
          <w:sz w:val="22"/>
          <w:szCs w:val="22"/>
        </w:rPr>
        <w:t xml:space="preserve"> Forest plots of the burden × ECOG independence φ coefficient (panels a–c) and paired hazard ratios (panel d) across pre-specified sensitivity dimensions. (a) φ at the 3-, 6-, and 12-month landmarks. (b) φ within genomic subgroups and first-line treatment subgroups (immunotherapy, targeted therapy, chemotherapy). (c) φ under alternative trajectory definitions: three burden thresholds (any increase, oligo→poly transition only, ≥2-site increase) and a stricter ECOG definition (reaching ECOG ≥ 2, bolded). (d) Paired hazard ratios vs. Both Stable for the three discordance groups, from the main full Cox model (open circles) and the same model with additional adjustment for first-line treatment class (filled, color-coded; chemo-immunotherapy reference). For panels a–c, shaded band marks the |φ| &lt; 0.10 equivalence region (TOST margin); blue indicates non-significant independence (χ² P ≥ 0.05), red indicates a significant departure. Point estimates with 95% confidence intervals; CIs for φ computed via Fisher's z transform. All analyses use the 6-month landmark cohort (N = 1,486) except panel a, which spans landmarks as labelled.</w:t>
      </w:r>
    </w:p>
    <w:p w14:paraId="217C12EF" w14:textId="77777777" w:rsidR="00EB4A2D" w:rsidRDefault="00EB4A2D"/>
    <w:sectPr w:rsidR="00EB4A2D" w:rsidSect="00E64EA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AD"/>
    <w:rsid w:val="00113CD7"/>
    <w:rsid w:val="002C7D54"/>
    <w:rsid w:val="0033371E"/>
    <w:rsid w:val="005C0D39"/>
    <w:rsid w:val="0070406C"/>
    <w:rsid w:val="00724754"/>
    <w:rsid w:val="00C321FA"/>
    <w:rsid w:val="00C97210"/>
    <w:rsid w:val="00E64EAD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3F6F"/>
  <w15:chartTrackingRefBased/>
  <w15:docId w15:val="{9E354F88-7903-4F79-B2D7-6D937527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AD"/>
    <w:pPr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E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E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E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E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E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E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E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E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E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64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E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4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EA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4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EA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4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EAD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4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EA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E64EAD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E64EAD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E64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2026-05-27T07:07:00Z</dcterms:created>
  <dcterms:modified xsi:type="dcterms:W3CDTF">2026-05-27T07:07:00Z</dcterms:modified>
</cp:coreProperties>
</file>