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363E" w14:textId="77777777" w:rsidR="00AF325C" w:rsidRDefault="00AF325C" w:rsidP="00AF325C">
      <w:pPr>
        <w:rPr>
          <w:rFonts w:ascii="Times New Roman" w:eastAsia="SimSun" w:hAnsi="Times New Roman" w:cs="Times New Roman"/>
          <w:sz w:val="28"/>
          <w:szCs w:val="28"/>
        </w:rPr>
      </w:pPr>
      <w:r w:rsidRPr="002635E0">
        <w:rPr>
          <w:rFonts w:ascii="Times New Roman" w:eastAsia="SimSun" w:hAnsi="Times New Roman" w:cs="Times New Roman" w:hint="eastAsia"/>
          <w:b/>
          <w:bCs/>
          <w:sz w:val="28"/>
          <w:szCs w:val="28"/>
        </w:rPr>
        <w:t>Supplementary material</w:t>
      </w:r>
      <w:r w:rsidRPr="0083763F">
        <w:rPr>
          <w:rFonts w:ascii="Times New Roman" w:eastAsia="SimSun" w:hAnsi="Times New Roman" w:cs="Times New Roman" w:hint="eastAsia"/>
          <w:b/>
          <w:bCs/>
          <w:sz w:val="28"/>
          <w:szCs w:val="28"/>
        </w:rPr>
        <w:t xml:space="preserve">: Table </w:t>
      </w:r>
      <w:r w:rsidRPr="002635E0">
        <w:rPr>
          <w:rFonts w:ascii="Times New Roman" w:eastAsia="SimSun" w:hAnsi="Times New Roman" w:cs="Times New Roman"/>
          <w:b/>
          <w:bCs/>
          <w:sz w:val="28"/>
          <w:szCs w:val="28"/>
        </w:rPr>
        <w:t xml:space="preserve">S1 </w:t>
      </w:r>
      <w:r w:rsidRPr="002635E0">
        <w:rPr>
          <w:rFonts w:ascii="Times New Roman" w:eastAsia="SimSun" w:hAnsi="Times New Roman" w:cs="Times New Roman" w:hint="eastAsia"/>
          <w:sz w:val="28"/>
          <w:szCs w:val="28"/>
        </w:rPr>
        <w:t>Univariable analysis for in-hospital mortality.</w:t>
      </w:r>
      <w:r w:rsidRPr="002635E0">
        <w:rPr>
          <w:rFonts w:ascii="Times New Roman" w:eastAsia="SimSun" w:hAnsi="Times New Roman" w:cs="Times New Roman"/>
          <w:b/>
          <w:bCs/>
          <w:sz w:val="28"/>
          <w:szCs w:val="28"/>
        </w:rPr>
        <w:t xml:space="preserve"> </w:t>
      </w:r>
      <w:r w:rsidRPr="002635E0">
        <w:rPr>
          <w:rFonts w:ascii="Times New Roman" w:eastAsia="SimSun" w:hAnsi="Times New Roman" w:cs="Times New Roman" w:hint="eastAsia"/>
          <w:sz w:val="28"/>
          <w:szCs w:val="28"/>
        </w:rPr>
        <w:t>This table</w:t>
      </w:r>
      <w:r w:rsidRPr="002635E0">
        <w:rPr>
          <w:rFonts w:ascii="Times New Roman" w:eastAsia="SimSun" w:hAnsi="Times New Roman" w:cs="Times New Roman"/>
          <w:sz w:val="28"/>
          <w:szCs w:val="28"/>
        </w:rPr>
        <w:t xml:space="preserve"> summarizes the univariable logistic regression results for in‑hospital mortality. For each candidate variable, the odds ratio (OR), 95% confidence interval (CI), and P value are reported. Significant predictors (</w:t>
      </w:r>
      <w:r w:rsidRPr="002635E0">
        <w:rPr>
          <w:rFonts w:ascii="Times New Roman" w:eastAsia="SimSun" w:hAnsi="Times New Roman" w:cs="Times New Roman"/>
          <w:i/>
          <w:iCs/>
          <w:sz w:val="28"/>
          <w:szCs w:val="28"/>
        </w:rPr>
        <w:t xml:space="preserve">P </w:t>
      </w:r>
      <w:r w:rsidRPr="002635E0">
        <w:rPr>
          <w:rFonts w:ascii="Times New Roman" w:eastAsia="SimSun" w:hAnsi="Times New Roman" w:cs="Times New Roman"/>
          <w:sz w:val="28"/>
          <w:szCs w:val="28"/>
        </w:rPr>
        <w:t xml:space="preserve">&lt; 0.05) included age, PNI, heart rate, MAP, respiratory rate, SpO₂, platelets, WBC, anion gap, BUN, SCr, INR, total bilirubin, congestive heart failure, peripheral vascular disease, Charlson comorbidity index, and SAPS II. Hemoglobin, chloride, chronic pulmonary disease, and hospital LOS </w:t>
      </w:r>
      <w:r w:rsidRPr="002635E0">
        <w:rPr>
          <w:rFonts w:ascii="Times New Roman" w:eastAsia="SimSun" w:hAnsi="Times New Roman" w:cs="Times New Roman" w:hint="eastAsia"/>
          <w:sz w:val="28"/>
          <w:szCs w:val="28"/>
        </w:rPr>
        <w:t>were not significantly associated with mortality in the univariable analysis.</w:t>
      </w:r>
      <w:r w:rsidRPr="002635E0">
        <w:t xml:space="preserve"> </w:t>
      </w:r>
      <w:r w:rsidRPr="0083763F">
        <w:rPr>
          <w:rFonts w:ascii="Times New Roman" w:eastAsia="SimSun" w:hAnsi="Times New Roman" w:cs="Times New Roman" w:hint="eastAsia"/>
          <w:b/>
          <w:bCs/>
          <w:sz w:val="28"/>
          <w:szCs w:val="28"/>
        </w:rPr>
        <w:t xml:space="preserve">Table </w:t>
      </w:r>
      <w:r w:rsidRPr="002635E0">
        <w:rPr>
          <w:rFonts w:ascii="Times New Roman" w:eastAsia="SimSun" w:hAnsi="Times New Roman" w:cs="Times New Roman"/>
          <w:b/>
          <w:bCs/>
          <w:sz w:val="28"/>
          <w:szCs w:val="28"/>
        </w:rPr>
        <w:t>S2</w:t>
      </w:r>
      <w:r w:rsidRPr="002635E0">
        <w:rPr>
          <w:rFonts w:ascii="Times New Roman" w:eastAsia="SimSun" w:hAnsi="Times New Roman" w:cs="Times New Roman"/>
          <w:sz w:val="28"/>
          <w:szCs w:val="28"/>
        </w:rPr>
        <w:t xml:space="preserve"> </w:t>
      </w:r>
      <w:r w:rsidRPr="002635E0">
        <w:rPr>
          <w:rFonts w:ascii="Times New Roman" w:eastAsia="SimSun" w:hAnsi="Times New Roman" w:cs="Times New Roman" w:hint="eastAsia"/>
          <w:sz w:val="28"/>
          <w:szCs w:val="28"/>
        </w:rPr>
        <w:t>Univariable analysis for short-term</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30 days</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mortality</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This table</w:t>
      </w:r>
      <w:r w:rsidRPr="002635E0">
        <w:rPr>
          <w:rFonts w:ascii="Times New Roman" w:eastAsia="SimSun" w:hAnsi="Times New Roman" w:cs="Times New Roman"/>
          <w:sz w:val="28"/>
          <w:szCs w:val="28"/>
        </w:rPr>
        <w:t xml:space="preserve"> summarizes the univariable Cox regression analysis for 30‑day mortality. HR, 95% CI, and P values are reported for each candidate variable. Significant predictors (</w:t>
      </w:r>
      <w:r w:rsidRPr="002635E0">
        <w:rPr>
          <w:rFonts w:ascii="Times New Roman" w:eastAsia="SimSun" w:hAnsi="Times New Roman" w:cs="Times New Roman"/>
          <w:i/>
          <w:iCs/>
          <w:sz w:val="28"/>
          <w:szCs w:val="28"/>
        </w:rPr>
        <w:t>P</w:t>
      </w:r>
      <w:r w:rsidRPr="002635E0">
        <w:rPr>
          <w:rFonts w:ascii="Times New Roman" w:eastAsia="SimSun" w:hAnsi="Times New Roman" w:cs="Times New Roman"/>
          <w:sz w:val="28"/>
          <w:szCs w:val="28"/>
        </w:rPr>
        <w:t xml:space="preserve"> &lt; 0.05) included age, PNI, MAP, RR, SpO₂, platelets, WBC, anion gap, BUN, SCr, INR, total bilirubin, congestive heart failure, Charlson comorbidity index, and SAPS II. Heart rate, hemoglobin, chloride, peripheral vascular disease, chronic pulmonary disease, and hospital LOS were not significantly associated with 30‑day mortality in the </w:t>
      </w:r>
      <w:r w:rsidRPr="002635E0">
        <w:rPr>
          <w:rFonts w:ascii="Times New Roman" w:eastAsia="SimSun" w:hAnsi="Times New Roman" w:cs="Times New Roman" w:hint="eastAsia"/>
          <w:sz w:val="28"/>
          <w:szCs w:val="28"/>
        </w:rPr>
        <w:t>univariable analysis.</w:t>
      </w:r>
      <w:r w:rsidRPr="002635E0">
        <w:t xml:space="preserve"> </w:t>
      </w:r>
      <w:r w:rsidRPr="002635E0">
        <w:rPr>
          <w:rFonts w:ascii="Times New Roman" w:eastAsia="SimSun" w:hAnsi="Times New Roman" w:cs="Times New Roman"/>
          <w:b/>
          <w:bCs/>
          <w:sz w:val="28"/>
          <w:szCs w:val="28"/>
        </w:rPr>
        <w:t>Table S3</w:t>
      </w:r>
      <w:r w:rsidRPr="002635E0">
        <w:rPr>
          <w:rFonts w:ascii="Times New Roman" w:eastAsia="SimSun" w:hAnsi="Times New Roman" w:cs="Times New Roman"/>
          <w:sz w:val="28"/>
          <w:szCs w:val="28"/>
        </w:rPr>
        <w:t xml:space="preserve"> Univariable analysis for long‑term</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sz w:val="28"/>
          <w:szCs w:val="28"/>
        </w:rPr>
        <w:t>1 year</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sz w:val="28"/>
          <w:szCs w:val="28"/>
        </w:rPr>
        <w:t>mortality</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This table</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sz w:val="28"/>
          <w:szCs w:val="28"/>
        </w:rPr>
        <w:t>summarizes the univariable Cox regression analysis for 1‑year mortality. HR, 95% CI, and P values are reported for each candidate variable. Significant predictors (</w:t>
      </w:r>
      <w:r w:rsidRPr="002635E0">
        <w:rPr>
          <w:rFonts w:ascii="Times New Roman" w:eastAsia="SimSun" w:hAnsi="Times New Roman" w:cs="Times New Roman"/>
          <w:i/>
          <w:iCs/>
          <w:sz w:val="28"/>
          <w:szCs w:val="28"/>
        </w:rPr>
        <w:t>P</w:t>
      </w:r>
      <w:r w:rsidRPr="002635E0">
        <w:rPr>
          <w:rFonts w:ascii="Times New Roman" w:eastAsia="SimSun" w:hAnsi="Times New Roman" w:cs="Times New Roman"/>
          <w:sz w:val="28"/>
          <w:szCs w:val="28"/>
        </w:rPr>
        <w:t xml:space="preserve"> &lt; 0.05) included age, PNI, MAP, RR, SpO₂, hemoglobin, platelets, WBC, anion gap, BUN, chloride, SCr, INR, total bilirubin, congestive heart failure, peripheral vascular disease, chronic pulmonary disease, Charlson comorbidity index, and SAPS II. Sex, heart rate, and hospital LOS were not significantly associated with 1‑year mortality i</w:t>
      </w:r>
      <w:r w:rsidRPr="002635E0">
        <w:rPr>
          <w:rFonts w:ascii="Times New Roman" w:eastAsia="SimSun" w:hAnsi="Times New Roman" w:cs="Times New Roman" w:hint="eastAsia"/>
          <w:sz w:val="28"/>
          <w:szCs w:val="28"/>
        </w:rPr>
        <w:t>n the univariable analysis.</w:t>
      </w:r>
      <w:r w:rsidRPr="005D043E">
        <w:t xml:space="preserve"> </w:t>
      </w:r>
      <w:r w:rsidRPr="005D043E">
        <w:rPr>
          <w:rFonts w:ascii="Times New Roman" w:eastAsia="SimSun" w:hAnsi="Times New Roman" w:cs="Times New Roman"/>
          <w:b/>
          <w:bCs/>
          <w:sz w:val="28"/>
          <w:szCs w:val="28"/>
        </w:rPr>
        <w:t>Table S4</w:t>
      </w:r>
      <w:r w:rsidRPr="005D043E">
        <w:rPr>
          <w:rFonts w:ascii="Times New Roman" w:eastAsia="SimSun" w:hAnsi="Times New Roman" w:cs="Times New Roman"/>
          <w:sz w:val="28"/>
          <w:szCs w:val="28"/>
        </w:rPr>
        <w:t xml:space="preserve"> Univariable analysis for long‑term</w:t>
      </w:r>
      <w:r w:rsidRPr="005D043E">
        <w:rPr>
          <w:rFonts w:ascii="Times New Roman" w:eastAsia="SimSun" w:hAnsi="Times New Roman" w:cs="Times New Roman"/>
          <w:sz w:val="28"/>
          <w:szCs w:val="28"/>
        </w:rPr>
        <w:t>（</w:t>
      </w:r>
      <w:r w:rsidRPr="005D043E">
        <w:rPr>
          <w:rFonts w:ascii="Times New Roman" w:eastAsia="SimSun" w:hAnsi="Times New Roman" w:cs="Times New Roman"/>
          <w:sz w:val="28"/>
          <w:szCs w:val="28"/>
        </w:rPr>
        <w:t>5 years</w:t>
      </w:r>
      <w:r w:rsidRPr="005D043E">
        <w:rPr>
          <w:rFonts w:ascii="Times New Roman" w:eastAsia="SimSun" w:hAnsi="Times New Roman" w:cs="Times New Roman"/>
          <w:sz w:val="28"/>
          <w:szCs w:val="28"/>
        </w:rPr>
        <w:t>）</w:t>
      </w:r>
      <w:r w:rsidRPr="005D043E">
        <w:rPr>
          <w:rFonts w:ascii="Times New Roman" w:eastAsia="SimSun" w:hAnsi="Times New Roman" w:cs="Times New Roman"/>
          <w:sz w:val="28"/>
          <w:szCs w:val="28"/>
        </w:rPr>
        <w:t>mortality</w:t>
      </w:r>
      <w:r>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This table</w:t>
      </w:r>
      <w:r w:rsidRPr="005D043E">
        <w:rPr>
          <w:rFonts w:ascii="Times New Roman" w:eastAsia="SimSun" w:hAnsi="Times New Roman" w:cs="Times New Roman"/>
          <w:sz w:val="28"/>
          <w:szCs w:val="28"/>
        </w:rPr>
        <w:t xml:space="preserve"> summarizes the univariable Cox regression analysis for 5‑year mortality. HR, 95% CI, and P values are reported for each candidate variable. Significant predictors (P &lt; 0.05) included age, PNI, MAP, RR, SpO₂, hemoglobin, platelets, WBC, anion gap, BUN, chloride, SCr, INR, total bilirubin, congestive heart failure, peripheral vascular disease, chronic pulmonary disease, Charlson comorbidity index, and SAPS II. Sex, heart rate, and hospital LOS were not significantly associated with 5‑year mortality i</w:t>
      </w:r>
      <w:r w:rsidRPr="005D043E">
        <w:rPr>
          <w:rFonts w:ascii="Times New Roman" w:eastAsia="SimSun" w:hAnsi="Times New Roman" w:cs="Times New Roman" w:hint="eastAsia"/>
          <w:sz w:val="28"/>
          <w:szCs w:val="28"/>
        </w:rPr>
        <w:t>n the univariable analysis.</w:t>
      </w:r>
      <w:r w:rsidRPr="00086315">
        <w:rPr>
          <w:rFonts w:hint="eastAsia"/>
        </w:rPr>
        <w:t xml:space="preserve"> </w:t>
      </w:r>
      <w:r w:rsidRPr="00086315">
        <w:rPr>
          <w:rFonts w:ascii="Times New Roman" w:eastAsia="SimSun" w:hAnsi="Times New Roman" w:cs="Times New Roman" w:hint="eastAsia"/>
          <w:b/>
          <w:bCs/>
          <w:sz w:val="28"/>
          <w:szCs w:val="28"/>
        </w:rPr>
        <w:t xml:space="preserve">Table S5 </w:t>
      </w:r>
      <w:r w:rsidRPr="00086315">
        <w:rPr>
          <w:rFonts w:ascii="Times New Roman" w:eastAsia="SimSun" w:hAnsi="Times New Roman" w:cs="Times New Roman" w:hint="eastAsia"/>
          <w:sz w:val="28"/>
          <w:szCs w:val="28"/>
        </w:rPr>
        <w:t>Association between prognostic nutritional index and Hospital LOS in patients with pulmonary hypertension</w:t>
      </w:r>
      <w:r>
        <w:rPr>
          <w:rFonts w:ascii="Times New Roman" w:eastAsia="SimSun" w:hAnsi="Times New Roman" w:cs="Times New Roman" w:hint="eastAsia"/>
          <w:sz w:val="28"/>
          <w:szCs w:val="28"/>
        </w:rPr>
        <w:t>.</w:t>
      </w:r>
      <w:r w:rsidRPr="00086315">
        <w:rPr>
          <w:rFonts w:ascii="Times New Roman" w:eastAsia="SimSun" w:hAnsi="Times New Roman" w:cs="Times New Roman" w:hint="eastAsia"/>
          <w:sz w:val="28"/>
          <w:szCs w:val="28"/>
        </w:rPr>
        <w:t xml:space="preserve"> </w:t>
      </w:r>
      <w:r w:rsidRPr="002635E0">
        <w:rPr>
          <w:rFonts w:ascii="Times New Roman" w:eastAsia="SimSun" w:hAnsi="Times New Roman" w:cs="Times New Roman" w:hint="eastAsia"/>
          <w:sz w:val="28"/>
          <w:szCs w:val="28"/>
        </w:rPr>
        <w:t>This table</w:t>
      </w:r>
      <w:r w:rsidRPr="00086315">
        <w:rPr>
          <w:rFonts w:ascii="Times New Roman" w:eastAsia="SimSun" w:hAnsi="Times New Roman" w:cs="Times New Roman" w:hint="eastAsia"/>
          <w:sz w:val="28"/>
          <w:szCs w:val="28"/>
        </w:rPr>
        <w:t xml:space="preserve"> presents the association between PNI and hospital LOS in patients with pulmonary hypertension. Both </w:t>
      </w:r>
      <w:r w:rsidRPr="00086315">
        <w:rPr>
          <w:rFonts w:ascii="Times New Roman" w:eastAsia="SimSun" w:hAnsi="Times New Roman" w:cs="Times New Roman" w:hint="eastAsia"/>
          <w:sz w:val="28"/>
          <w:szCs w:val="28"/>
        </w:rPr>
        <w:lastRenderedPageBreak/>
        <w:t>continuous and categorical PNI analyses showed that higher PNI was significantly associated with shorter hospital LOS after adjusting for potential</w:t>
      </w:r>
      <w:r w:rsidRPr="00086315">
        <w:rPr>
          <w:rFonts w:ascii="Times New Roman" w:eastAsia="SimSun" w:hAnsi="Times New Roman" w:cs="Times New Roman"/>
          <w:sz w:val="28"/>
          <w:szCs w:val="28"/>
        </w:rPr>
        <w:t xml:space="preserve"> confounders (continuous: adjusted coefficient −0.17, </w:t>
      </w:r>
      <w:r w:rsidRPr="00086315">
        <w:rPr>
          <w:rFonts w:ascii="Times New Roman" w:eastAsia="SimSun" w:hAnsi="Times New Roman" w:cs="Times New Roman"/>
          <w:i/>
          <w:iCs/>
          <w:sz w:val="28"/>
          <w:szCs w:val="28"/>
        </w:rPr>
        <w:t xml:space="preserve">P </w:t>
      </w:r>
      <w:r w:rsidRPr="00086315">
        <w:rPr>
          <w:rFonts w:ascii="Times New Roman" w:eastAsia="SimSun" w:hAnsi="Times New Roman" w:cs="Times New Roman"/>
          <w:sz w:val="28"/>
          <w:szCs w:val="28"/>
        </w:rPr>
        <w:t xml:space="preserve">= 0.011; PNI ≥42 vs. &lt;33: adjusted coefficient −3.02, </w:t>
      </w:r>
      <w:r w:rsidRPr="00086315">
        <w:rPr>
          <w:rFonts w:ascii="Times New Roman" w:eastAsia="SimSun" w:hAnsi="Times New Roman" w:cs="Times New Roman"/>
          <w:i/>
          <w:iCs/>
          <w:sz w:val="28"/>
          <w:szCs w:val="28"/>
        </w:rPr>
        <w:t>P</w:t>
      </w:r>
      <w:r w:rsidRPr="00086315">
        <w:rPr>
          <w:rFonts w:ascii="Times New Roman" w:eastAsia="SimSun" w:hAnsi="Times New Roman" w:cs="Times New Roman"/>
          <w:sz w:val="28"/>
          <w:szCs w:val="28"/>
        </w:rPr>
        <w:t xml:space="preserve"> = 0.035). A significant linear trend across PNI categories was also observed (adjusted </w:t>
      </w:r>
      <w:r w:rsidRPr="00086315">
        <w:rPr>
          <w:rFonts w:ascii="Times New Roman" w:eastAsia="SimSun" w:hAnsi="Times New Roman" w:cs="Times New Roman"/>
          <w:i/>
          <w:iCs/>
          <w:sz w:val="28"/>
          <w:szCs w:val="28"/>
        </w:rPr>
        <w:t>P</w:t>
      </w:r>
      <w:r w:rsidRPr="00086315">
        <w:rPr>
          <w:rFonts w:ascii="Times New Roman" w:eastAsia="SimSun" w:hAnsi="Times New Roman" w:cs="Times New Roman"/>
          <w:sz w:val="28"/>
          <w:szCs w:val="28"/>
        </w:rPr>
        <w:t xml:space="preserve"> = 0.037).</w:t>
      </w:r>
    </w:p>
    <w:p w14:paraId="22DB98F0"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C"/>
    <w:rsid w:val="00264C10"/>
    <w:rsid w:val="00470242"/>
    <w:rsid w:val="00726E03"/>
    <w:rsid w:val="00934BC8"/>
    <w:rsid w:val="009542D6"/>
    <w:rsid w:val="00AF325C"/>
    <w:rsid w:val="00C8679A"/>
    <w:rsid w:val="00CA70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CEDB"/>
  <w15:chartTrackingRefBased/>
  <w15:docId w15:val="{1E4FE2DC-EDC1-4DEA-B2C4-CA0C2302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25C"/>
    <w:pPr>
      <w:widowControl w:val="0"/>
    </w:pPr>
    <w:rPr>
      <w:sz w:val="22"/>
    </w:rPr>
  </w:style>
  <w:style w:type="paragraph" w:styleId="Heading1">
    <w:name w:val="heading 1"/>
    <w:basedOn w:val="Normal"/>
    <w:next w:val="Normal"/>
    <w:link w:val="Heading1Char"/>
    <w:uiPriority w:val="9"/>
    <w:qFormat/>
    <w:rsid w:val="00AF325C"/>
    <w:pPr>
      <w:keepNext/>
      <w:keepLines/>
      <w:widowControl/>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25C"/>
    <w:pPr>
      <w:keepNext/>
      <w:keepLines/>
      <w:widowControl/>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25C"/>
    <w:pPr>
      <w:keepNext/>
      <w:keepLines/>
      <w:widowControl/>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25C"/>
    <w:pPr>
      <w:keepNext/>
      <w:keepLines/>
      <w:widowControl/>
      <w:spacing w:before="80" w:after="40"/>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AF325C"/>
    <w:pPr>
      <w:keepNext/>
      <w:keepLines/>
      <w:widowControl/>
      <w:spacing w:before="80" w:after="40"/>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AF325C"/>
    <w:pPr>
      <w:keepNext/>
      <w:keepLines/>
      <w:widowControl/>
      <w:spacing w:before="40" w:after="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AF325C"/>
    <w:pPr>
      <w:keepNext/>
      <w:keepLines/>
      <w:widowControl/>
      <w:spacing w:before="40" w:after="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AF325C"/>
    <w:pPr>
      <w:keepNext/>
      <w:keepLines/>
      <w:widowControl/>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AF325C"/>
    <w:pPr>
      <w:keepNext/>
      <w:keepLines/>
      <w:widowControl/>
      <w:spacing w:after="0"/>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5C"/>
    <w:rPr>
      <w:rFonts w:eastAsiaTheme="majorEastAsia" w:cstheme="majorBidi"/>
      <w:color w:val="272727" w:themeColor="text1" w:themeTint="D8"/>
    </w:rPr>
  </w:style>
  <w:style w:type="paragraph" w:styleId="Title">
    <w:name w:val="Title"/>
    <w:basedOn w:val="Normal"/>
    <w:next w:val="Normal"/>
    <w:link w:val="TitleChar"/>
    <w:uiPriority w:val="10"/>
    <w:qFormat/>
    <w:rsid w:val="00AF325C"/>
    <w:pPr>
      <w:widowControl/>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5C"/>
    <w:pPr>
      <w:widowControl/>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5C"/>
    <w:pPr>
      <w:widowControl/>
      <w:spacing w:before="160"/>
      <w:jc w:val="center"/>
    </w:pPr>
    <w:rPr>
      <w:i/>
      <w:iCs/>
      <w:color w:val="404040" w:themeColor="text1" w:themeTint="BF"/>
      <w:sz w:val="24"/>
    </w:rPr>
  </w:style>
  <w:style w:type="character" w:customStyle="1" w:styleId="QuoteChar">
    <w:name w:val="Quote Char"/>
    <w:basedOn w:val="DefaultParagraphFont"/>
    <w:link w:val="Quote"/>
    <w:uiPriority w:val="29"/>
    <w:rsid w:val="00AF325C"/>
    <w:rPr>
      <w:i/>
      <w:iCs/>
      <w:color w:val="404040" w:themeColor="text1" w:themeTint="BF"/>
    </w:rPr>
  </w:style>
  <w:style w:type="paragraph" w:styleId="ListParagraph">
    <w:name w:val="List Paragraph"/>
    <w:basedOn w:val="Normal"/>
    <w:uiPriority w:val="34"/>
    <w:qFormat/>
    <w:rsid w:val="00AF325C"/>
    <w:pPr>
      <w:widowControl/>
      <w:ind w:left="720"/>
      <w:contextualSpacing/>
    </w:pPr>
    <w:rPr>
      <w:sz w:val="24"/>
    </w:rPr>
  </w:style>
  <w:style w:type="character" w:styleId="IntenseEmphasis">
    <w:name w:val="Intense Emphasis"/>
    <w:basedOn w:val="DefaultParagraphFont"/>
    <w:uiPriority w:val="21"/>
    <w:qFormat/>
    <w:rsid w:val="00AF325C"/>
    <w:rPr>
      <w:i/>
      <w:iCs/>
      <w:color w:val="0F4761" w:themeColor="accent1" w:themeShade="BF"/>
    </w:rPr>
  </w:style>
  <w:style w:type="paragraph" w:styleId="IntenseQuote">
    <w:name w:val="Intense Quote"/>
    <w:basedOn w:val="Normal"/>
    <w:next w:val="Normal"/>
    <w:link w:val="IntenseQuoteChar"/>
    <w:uiPriority w:val="30"/>
    <w:qFormat/>
    <w:rsid w:val="00AF325C"/>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4"/>
    </w:rPr>
  </w:style>
  <w:style w:type="character" w:customStyle="1" w:styleId="IntenseQuoteChar">
    <w:name w:val="Intense Quote Char"/>
    <w:basedOn w:val="DefaultParagraphFont"/>
    <w:link w:val="IntenseQuote"/>
    <w:uiPriority w:val="30"/>
    <w:rsid w:val="00AF325C"/>
    <w:rPr>
      <w:i/>
      <w:iCs/>
      <w:color w:val="0F4761" w:themeColor="accent1" w:themeShade="BF"/>
    </w:rPr>
  </w:style>
  <w:style w:type="character" w:styleId="IntenseReference">
    <w:name w:val="Intense Reference"/>
    <w:basedOn w:val="DefaultParagraphFont"/>
    <w:uiPriority w:val="32"/>
    <w:qFormat/>
    <w:rsid w:val="00AF32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2026-06-30T17:05:00Z</dcterms:created>
  <dcterms:modified xsi:type="dcterms:W3CDTF">2026-06-30T17:06:00Z</dcterms:modified>
</cp:coreProperties>
</file>