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w="http://schemas.openxmlformats.org/wordprocessingml/2006/main" xmlns:w14="http://schemas.microsoft.com/office/word/2010/wordml" mc:Ignorable="w14 w15 w16se w16cid w16 w16cex w16sdtdh w16sdtfl w16du wp14">
  <w:body>
    <w:p w14:paraId="5406D8BD" w14:textId="77777777" w:rsidR="00C2226D" w:rsidRDefault="00000000">
      <w:pPr>
        <w:pStyle w:val="Heading1"/>
        <w:spacing w:line="480" w:lineRule="auto"/>
      </w:pPr>
      <w:r>
        <w:t>Supplementary Materials</w:t>
      </w:r>
    </w:p>
    <w:p w14:paraId="25B5B7C2" w14:textId="77777777" w:rsidR="00C2226D" w:rsidRDefault="00000000">
      <w:pPr>
        <w:spacing w:line="480" w:lineRule="auto"/>
      </w:pPr>
      <w:r>
        <w:t>Reference-space quantification of cycle-binned multichannel EMG coordination shifts: internal evaluation and application to soft-suit walking</w:t>
      </w:r>
    </w:p>
    <w:p w14:paraId="475752EF" w14:textId="77777777" w:rsidR="00C2226D" w:rsidRDefault="00000000">
      <w:pPr>
        <w:spacing w:line="480" w:lineRule="auto"/>
      </w:pPr>
      <w:r>
        <w:t>Song-Bi Lee, Yongjun Kim, Ki-Soo Hur, Changmok Oh, Suyeong Eom, Dong-Woo Lee</w:t>
      </w:r>
    </w:p>
    <w:p w14:paraId="7C158345" w14:textId="77777777" w:rsidR="00C2226D" w:rsidRDefault="00C2226D">
      <w:pPr>
        <w:spacing w:line="480" w:lineRule="auto"/>
      </w:pPr>
      <w:r/>
    </w:p>
    <w:p w14:paraId="6059F636" w14:textId="77777777" w:rsidR="00C2226D" w:rsidRDefault="00000000">
      <w:pPr>
        <w:pStyle w:val="Heading2"/>
        <w:spacing w:line="480" w:lineRule="auto"/>
      </w:pPr>
      <w:r>
        <w:t>Supplementary Note 1: WSI definitions and DBSCAN parameter selection</w:t>
      </w:r>
    </w:p>
    <w:p w14:paraId="7647511A" w14:textId="77777777" w:rsidR="00C2226D" w:rsidRDefault="00000000">
      <w:pPr>
        <w:spacing w:line="480" w:lineRule="auto"/>
      </w:pPr>
      <w:r>
        <w:t>Three walking shift indices (WSIs) were defined to quantify condition-specific coordination deviations from natural walking (NW) in the fixed NW-reference UMAP embedding space.</w:t>
      </w:r>
    </w:p>
    <w:p w14:paraId="28FF4A55" w14:textId="77777777" w:rsidR="00C2226D" w:rsidRDefault="00000000">
      <w:pPr>
        <w:spacing w:line="480" w:lineRule="auto"/>
      </w:pPr>
      <w:r>
        <w:t>WSI-1 (centroid shift): Euclidean distance between the condition point-cloud centroid and the NW centroid: WSI-1_c = ||μ_c − μ_NW||₂.</w:t>
      </w:r>
    </w:p>
    <w:p w14:paraId="64D36A54" w14:textId="77777777" w:rsidR="00C2226D" w:rsidRDefault="00000000">
      <w:pPr>
        <w:spacing w:line="480" w:lineRule="auto"/>
      </w:pPr>
      <w:r>
        <w:t>WSI-2 (distributional shift): Sliced Wasserstein-2 distance between the condition and NW point distributions, computed as the mean of 1D Wasserstein-2 distances over 100 random projections (random_state = 42).</w:t>
      </w:r>
    </w:p>
    <w:p w14:paraId="1DA31559" w14:textId="77777777" w:rsidR="00C2226D" w:rsidRDefault="00000000">
      <w:pPr>
        <w:spacing w:line="480" w:lineRule="auto"/>
      </w:pPr>
      <w:r>
        <w:t>WSI-3 (state-occupancy shift): Total variation distance between DBSCAN state-occupancy distributions: WSI-3_c = (1/2) · Σ_s |p_c(s) − p_NW(s)|. The noise state (label = −1) was included in occupancy vectors.</w:t>
      </w:r>
    </w:p>
    <w:p w14:paraId="1476C257" w14:textId="77777777" w:rsidR="00C2226D" w:rsidRDefault="00000000">
      <w:pPr>
        <w:pStyle w:val="Heading3"/>
        <w:spacing w:line="480" w:lineRule="auto"/>
      </w:pPr>
      <w:r>
        <w:t>DBSCAN ε selection</w:t>
      </w:r>
    </w:p>
    <w:p w14:paraId="2B0A3044" w14:textId="77777777" w:rsidR="00C2226D" w:rsidRDefault="00000000">
      <w:pPr>
        <w:spacing w:line="480" w:lineRule="auto"/>
      </w:pPr>
      <w:r>
        <w:t>DBSCAN min_samples was set to 14 a priori. Epsilon (ε) was selected via the k-distance method: for each point, the distance to its k-th nearest neighbor (k = min_samples = 14) was computed, sorted in ascending order, and ε was set at the "knee" of the resulting curve, identified as the point of maximum perpendicular distance from the line connecting the first and last sorted values. At 8-bin resolution, this yielded ε = 0.47 and 11 DBSCAN states (excluding noise). At 16-bin resolution, the same knee-based procedure yielded ε = 0.3799 and 27 DBSCAN states, excluding noise.</w:t>
      </w:r>
    </w:p>
    <w:p w14:paraId="40EA5E12" w14:textId="77777777" w:rsidR="00C2226D" w:rsidRDefault="00000000">
      <w:pPr>
        <w:pStyle w:val="Heading3"/>
        <w:spacing w:line="480" w:lineRule="auto"/>
      </w:pPr>
      <w:r>
        <w:t>Representation dependence</w:t>
      </w:r>
    </w:p>
    <w:p w14:paraId="7A27A94F" w14:textId="77777777" w:rsidR="00C2226D" w:rsidRDefault="00000000">
      <w:pPr>
        <w:spacing w:line="480" w:lineRule="auto"/>
      </w:pPr>
      <w:r>
        <w:t>To assess whether the primary participant-level conclusion depended on the 2D UMAP representation, subject-level paired ΔWSI(PE−UE) analyses were repeated in three alternative spaces:</w:t>
      </w:r>
    </w:p>
    <w:p w14:paraId="5E97348F" w14:textId="77777777" w:rsidR="00C2226D" w:rsidRDefault="00000000">
      <w:pPr>
        <w:spacing w:line="480" w:lineRule="auto"/>
      </w:pPr>
      <w:r>
        <w:t>(i) 3D UMAP (n_components = 3, all other parameters identical): all three subject-level bootstrap 95% percentile intervals included zero.</w:t>
      </w:r>
    </w:p>
    <w:p w14:paraId="69C82B56" w14:textId="77777777" w:rsidR="00C2226D" w:rsidRDefault="00000000">
      <w:pPr>
        <w:spacing w:line="480" w:lineRule="auto"/>
      </w:pPr>
      <w:r>
        <w:t>(ii) Original 180-dimensional standardized feature space (no dimensionality reduction): centroid-distance-based ΔWSI-1 bootstrap interval included zero (Wilcoxon p &gt; 0.84).</w:t>
      </w:r>
    </w:p>
    <w:p w14:paraId="3F3376D5" w14:textId="77777777" w:rsidR="00C2226D" w:rsidRDefault="00000000">
      <w:pPr>
        <w:spacing w:line="480" w:lineRule="auto"/>
      </w:pPr>
      <w:r>
        <w:t>(iii) PCA 2D (fitted on NW, applied to all conditions): ΔWSI-1 bootstrap interval included zero (Wilcoxon p &gt; 0.84).</w:t>
      </w:r>
    </w:p>
    <w:p w14:paraId="34629522" w14:textId="77777777" w:rsidR="00C2226D" w:rsidRDefault="00000000">
      <w:pPr>
        <w:spacing w:line="480" w:lineRule="auto"/>
      </w:pPr>
      <w:r>
        <w:t>These results confirm that the inconclusive participant-level finding is a property of the data, not of the specific dimensionality-reduction method. However, absolute contrast magnitudes were representation-sensitive.</w:t>
      </w:r>
    </w:p>
    <w:p w14:paraId="45000554" w14:textId="77777777" w:rsidR="00C2226D" w:rsidRDefault="00000000">
      <w:pPr>
        <w:pStyle w:val="Heading2"/>
        <w:spacing w:line="480" w:lineRule="auto"/>
      </w:pPr>
      <w:r>
        <w:t>Supplementary Note 2: Decomposition analyses for interpretability</w:t>
      </w:r>
    </w:p>
    <w:p w14:paraId="2CD94866" w14:textId="77777777" w:rsidR="00C2226D" w:rsidRDefault="00000000">
      <w:pPr>
        <w:spacing w:line="480" w:lineRule="auto"/>
      </w:pPr>
      <w:r>
        <w:t>Additional decomposition analyses were performed on the 16-bin dataset to provide interpretive context. For notational convenience, 16 bins are labeled B1–B16 (equal temporal subdivisions, not gait-event-based).</w:t>
      </w:r>
    </w:p>
    <w:p w14:paraId="26BB4593" w14:textId="77777777" w:rsidR="00C2226D" w:rsidRDefault="00000000">
      <w:pPr>
        <w:pStyle w:val="Heading3"/>
        <w:spacing w:line="480" w:lineRule="auto"/>
      </w:pPr>
      <w:r>
        <w:t>Subject-level consistency</w:t>
      </w:r>
    </w:p>
    <w:p w14:paraId="7968EE0B" w14:textId="77777777" w:rsidR="00C2226D" w:rsidRDefault="00000000">
      <w:pPr>
        <w:spacing w:line="480" w:lineRule="auto"/>
      </w:pPr>
      <w:r>
        <w:t>Subject-wise ΔWSI-3 was computed using each participant's own NW points as the within-subject reference, consistent with the subject-level results in the main text. The pooled ΔWSI-3 from the main analysis was computed over all points, whereas the subject-level analysis averaged participant-wise summaries; therefore sign and magnitude may differ owing to aggregation-unit differences.</w:t>
      </w:r>
    </w:p>
    <w:p w14:paraId="49810D70" w14:textId="77777777" w:rsidR="00C2226D" w:rsidRDefault="00000000">
      <w:pPr>
        <w:pStyle w:val="Heading3"/>
        <w:spacing w:line="480" w:lineRule="auto"/>
      </w:pPr>
      <w:r>
        <w:t>Feature domain</w:t>
      </w:r>
    </w:p>
    <w:p w14:paraId="76ED5BAC" w14:textId="77777777" w:rsidR="00C2226D" w:rsidRDefault="00000000">
      <w:pPr>
        <w:spacing w:line="480" w:lineRule="auto"/>
      </w:pPr>
      <w:r>
        <w:t>The deviation analysis |UE − NW| − |PE − NW| was computed for each feature domain (Time, Frequency, Wavelet) across all bins. Numerically smaller PE–NW deviations than UE–NW deviations were observed for Time and Wavelet features, but these differences were small and are reported in the reproducibility package.</w:t>
      </w:r>
    </w:p>
    <w:p w14:paraId="0AE2DB76" w14:textId="77777777" w:rsidR="00C2226D" w:rsidRDefault="00000000">
      <w:pPr>
        <w:pStyle w:val="Heading3"/>
        <w:spacing w:line="480" w:lineRule="auto"/>
      </w:pPr>
      <w:r>
        <w:t>Bin-resolved muscle coupling</w:t>
      </w:r>
    </w:p>
    <w:p w14:paraId="3C09E8A7" w14:textId="77777777" w:rsidR="00C2226D" w:rsidRDefault="00000000">
      <w:pPr>
        <w:spacing w:line="480" w:lineRule="auto"/>
      </w:pPr>
      <w:r>
        <w:t>Inter-muscular correlation networks were computed at each bin to examine bin-resolved coupling patterns. These results are available as interactive dashboards in Supplementary Software 1.</w:t>
      </w:r>
    </w:p>
    <w:p>
      <w:r>
        <w:t>Temporal-bin cap sensitivity is summarized in Supplementary Figure S1; the underlying 8-bin and 16-bin cap-sensitivity CSV files are provided in Supplementary_Tables_S1-S7.zip as S2 and S3.</w:t>
      </w:r>
    </w:p>
    <w:p w14:paraId="632F1DA4" w14:textId="77777777" w:rsidR="00C2226D" w:rsidRDefault="00000000">
      <w:pPr>
        <w:pStyle w:val="Heading2"/>
        <w:spacing w:line="480" w:lineRule="auto"/>
      </w:pPr>
      <w:r>
        <w:t>Supplementary Note Table 1: Feature definitions</w:t>
      </w:r>
    </w:p>
    <w:p w14:paraId="219107A7" w14:textId="77777777" w:rsidR="00C2226D" w:rsidRDefault="00000000">
      <w:pPr>
        <w:spacing w:line="480" w:lineRule="auto"/>
      </w:pPr>
      <w:r>
        <w:t>18 features per channel were extracted at each cycle × bin segment:</w:t>
      </w:r>
    </w:p>
    <w:tbl>
      <w:tblPr>
        <w:tblStyle w:val="TableGrid"/>
        <w:tblW w:w="0" w:type="auto"/>
        <w:tblLook w:val="04A0" w:firstRow="1" w:lastRow="0" w:firstColumn="1" w:lastColumn="0" w:noHBand="0" w:noVBand="1"/>
      </w:tblPr>
      <w:tblGrid>
        <w:gridCol w:w="2880"/>
        <w:gridCol w:w="2880"/>
        <w:gridCol w:w="2880"/>
      </w:tblGrid>
      <w:tr w:rsidR="00C2226D" w14:paraId="5A3407EC" w14:textId="77777777">
        <w:tc>
          <w:tcPr>
            <w:tcW w:w="2880" w:type="dxa"/>
          </w:tcPr>
          <w:p w14:paraId="53DF5ACC" w14:textId="77777777" w:rsidR="00C2226D" w:rsidRDefault="00000000">
            <w:r>
              <w:t>Domain</w:t>
            </w:r>
          </w:p>
        </w:tc>
        <w:tc>
          <w:tcPr>
            <w:tcW w:w="2880" w:type="dxa"/>
          </w:tcPr>
          <w:p w14:paraId="3AAB28BD" w14:textId="77777777" w:rsidR="00C2226D" w:rsidRDefault="00000000">
            <w:r>
              <w:t>Features</w:t>
            </w:r>
          </w:p>
        </w:tc>
        <w:tc>
          <w:tcPr>
            <w:tcW w:w="2880" w:type="dxa"/>
          </w:tcPr>
          <w:p w14:paraId="5346B253" w14:textId="77777777" w:rsidR="00C2226D" w:rsidRDefault="00000000">
            <w:r>
              <w:t>Count</w:t>
            </w:r>
          </w:p>
        </w:tc>
      </w:tr>
      <w:tr w:rsidR="00C2226D" w14:paraId="5DC97B37" w14:textId="77777777">
        <w:tc>
          <w:tcPr>
            <w:tcW w:w="2880" w:type="dxa"/>
          </w:tcPr>
          <w:p w14:paraId="1920C68C" w14:textId="77777777" w:rsidR="00C2226D" w:rsidRDefault="00000000">
            <w:r>
              <w:t>Time</w:t>
            </w:r>
          </w:p>
        </w:tc>
        <w:tc>
          <w:tcPr>
            <w:tcW w:w="2880" w:type="dxa"/>
          </w:tcPr>
          <w:p w14:paraId="196DAC39" w14:textId="77777777" w:rsidR="00C2226D" w:rsidRDefault="00000000">
            <w:r>
              <w:t>RMS, MAV, WL, ZCR, SSC, VAR</w:t>
            </w:r>
          </w:p>
        </w:tc>
        <w:tc>
          <w:tcPr>
            <w:tcW w:w="2880" w:type="dxa"/>
          </w:tcPr>
          <w:p w14:paraId="1F74C580" w14:textId="77777777" w:rsidR="00C2226D" w:rsidRDefault="00000000">
            <w:r>
              <w:t>6</w:t>
            </w:r>
          </w:p>
        </w:tc>
      </w:tr>
      <w:tr w:rsidR="00C2226D" w14:paraId="646A4D63" w14:textId="77777777">
        <w:tc>
          <w:tcPr>
            <w:tcW w:w="2880" w:type="dxa"/>
          </w:tcPr>
          <w:p w14:paraId="1588E445" w14:textId="77777777" w:rsidR="00C2226D" w:rsidRDefault="00000000">
            <w:r>
              <w:t>Frequency</w:t>
            </w:r>
          </w:p>
        </w:tc>
        <w:tc>
          <w:tcPr>
            <w:tcW w:w="2880" w:type="dxa"/>
          </w:tcPr>
          <w:p w14:paraId="3FA9E523" w14:textId="77777777" w:rsidR="00C2226D" w:rsidRDefault="00000000">
            <w:r>
              <w:t>MNF, MDF, bandpower [10–30, 30–80, 80–150 Hz]</w:t>
            </w:r>
          </w:p>
        </w:tc>
        <w:tc>
          <w:tcPr>
            <w:tcW w:w="2880" w:type="dxa"/>
          </w:tcPr>
          <w:p w14:paraId="73C840C9" w14:textId="77777777" w:rsidR="00C2226D" w:rsidRDefault="00000000">
            <w:r>
              <w:t>5</w:t>
            </w:r>
          </w:p>
        </w:tc>
      </w:tr>
      <w:tr w:rsidR="00C2226D" w14:paraId="1CE0119E" w14:textId="77777777">
        <w:tc>
          <w:tcPr>
            <w:tcW w:w="2880" w:type="dxa"/>
          </w:tcPr>
          <w:p w14:paraId="5D27BE3B" w14:textId="77777777" w:rsidR="00C2226D" w:rsidRDefault="00000000">
            <w:r>
              <w:t>Wavelet</w:t>
            </w:r>
          </w:p>
        </w:tc>
        <w:tc>
          <w:tcPr>
            <w:tcW w:w="2880" w:type="dxa"/>
          </w:tcPr>
          <w:p w14:paraId="58B9D385" w14:textId="77777777" w:rsidR="00C2226D" w:rsidRDefault="00000000">
            <w:r>
              <w:t>W_E0–E5 (relative energy), W_ENT (entropy); db4/sym5/coif3 ensemble</w:t>
            </w:r>
          </w:p>
        </w:tc>
        <w:tc>
          <w:tcPr>
            <w:tcW w:w="2880" w:type="dxa"/>
          </w:tcPr>
          <w:p w14:paraId="6BF47958" w14:textId="77777777" w:rsidR="00C2226D" w:rsidRDefault="00000000">
            <w:r>
              <w:t>7</w:t>
            </w:r>
          </w:p>
        </w:tc>
      </w:tr>
    </w:tbl>
    <w:p w14:paraId="5B109C69" w14:textId="77777777" w:rsidR="00C2226D" w:rsidRDefault="00C2226D">
      <w:pPr>
        <w:spacing w:line="480" w:lineRule="auto"/>
      </w:pPr>
      <w:r/>
    </w:p>
    <w:p w14:paraId="274D42F6" w14:textId="77777777" w:rsidR="00C2226D" w:rsidRDefault="00000000">
      <w:pPr>
        <w:pStyle w:val="Heading2"/>
        <w:spacing w:line="480" w:lineRule="auto"/>
      </w:pPr>
      <w:r>
        <w:t>Supplementary Note Table 2: Step-by-step pipeline summary</w:t>
      </w:r>
    </w:p>
    <w:tbl>
      <w:tblPr>
        <w:tblStyle w:val="TableGrid"/>
        <w:tblW w:w="0" w:type="auto"/>
        <w:tblLook w:val="04A0" w:firstRow="1" w:lastRow="0" w:firstColumn="1" w:lastColumn="0" w:noHBand="0" w:noVBand="1"/>
      </w:tblPr>
      <w:tblGrid>
        <w:gridCol w:w="2880"/>
        <w:gridCol w:w="2880"/>
        <w:gridCol w:w="2880"/>
      </w:tblGrid>
      <w:tr w:rsidR="00C2226D" w14:paraId="7F9E814D" w14:textId="77777777">
        <w:tc>
          <w:tcPr>
            <w:tcW w:w="2880" w:type="dxa"/>
          </w:tcPr>
          <w:p w14:paraId="5A0E9089" w14:textId="77777777" w:rsidR="00C2226D" w:rsidRDefault="00000000">
            <w:r>
              <w:t>Step</w:t>
            </w:r>
          </w:p>
        </w:tc>
        <w:tc>
          <w:tcPr>
            <w:tcW w:w="2880" w:type="dxa"/>
          </w:tcPr>
          <w:p w14:paraId="7BCBC84F" w14:textId="77777777" w:rsidR="00C2226D" w:rsidRDefault="00000000">
            <w:r>
              <w:t>Operation</w:t>
            </w:r>
          </w:p>
        </w:tc>
        <w:tc>
          <w:tcPr>
            <w:tcW w:w="2880" w:type="dxa"/>
          </w:tcPr>
          <w:p w14:paraId="53D07828" w14:textId="77777777" w:rsidR="00C2226D" w:rsidRDefault="00000000">
            <w:r>
              <w:t>Details</w:t>
            </w:r>
          </w:p>
        </w:tc>
      </w:tr>
      <w:tr w:rsidR="00C2226D" w14:paraId="0D454686" w14:textId="77777777">
        <w:tc>
          <w:tcPr>
            <w:tcW w:w="2880" w:type="dxa"/>
          </w:tcPr>
          <w:p w14:paraId="7ED360F4" w14:textId="77777777" w:rsidR="00C2226D" w:rsidRDefault="00000000">
            <w:r>
              <w:t>1</w:t>
            </w:r>
          </w:p>
        </w:tc>
        <w:tc>
          <w:tcPr>
            <w:tcW w:w="2880" w:type="dxa"/>
          </w:tcPr>
          <w:p w14:paraId="0E3B65C2" w14:textId="77777777" w:rsidR="00C2226D" w:rsidRDefault="00000000">
            <w:r>
              <w:t>EMG acquisition</w:t>
            </w:r>
          </w:p>
        </w:tc>
        <w:tc>
          <w:tcPr>
            <w:tcW w:w="2880" w:type="dxa"/>
          </w:tcPr>
          <w:p w14:paraId="17BB735C" w14:textId="77777777" w:rsidR="00C2226D" w:rsidRDefault="00000000">
            <w:r>
              <w:t>10 channels × 2148 Hz (Delsys Trigno)</w:t>
            </w:r>
          </w:p>
        </w:tc>
      </w:tr>
      <w:tr w:rsidR="00C2226D" w14:paraId="3BEFB963" w14:textId="77777777">
        <w:tc>
          <w:tcPr>
            <w:tcW w:w="2880" w:type="dxa"/>
          </w:tcPr>
          <w:p w14:paraId="35AF3BB3" w14:textId="77777777" w:rsidR="00C2226D" w:rsidRDefault="00000000">
            <w:r>
              <w:t>2</w:t>
            </w:r>
          </w:p>
        </w:tc>
        <w:tc>
          <w:tcPr>
            <w:tcW w:w="2880" w:type="dxa"/>
          </w:tcPr>
          <w:p w14:paraId="1E9224A3" w14:textId="77777777" w:rsidR="00C2226D" w:rsidRDefault="00000000">
            <w:r>
              <w:t>Signal sanitization</w:t>
            </w:r>
          </w:p>
        </w:tc>
        <w:tc>
          <w:tcPr>
            <w:tcW w:w="2880" w:type="dxa"/>
          </w:tcPr>
          <w:p w14:paraId="67943630" w14:textId="77777777" w:rsidR="00C2226D" w:rsidRDefault="00000000">
            <w:r>
              <w:t xml:space="preserve">NaN/Inf interpolation + </w:t>
            </w:r>
            <w:r>
              <w:lastRenderedPageBreak/>
              <w:t>IQR-based outlier clipping</w:t>
            </w:r>
          </w:p>
        </w:tc>
      </w:tr>
      <w:tr w:rsidR="00C2226D" w14:paraId="018DF300" w14:textId="77777777">
        <w:tc>
          <w:tcPr>
            <w:tcW w:w="2880" w:type="dxa"/>
          </w:tcPr>
          <w:p w14:paraId="76A7DEA8" w14:textId="77777777" w:rsidR="00C2226D" w:rsidRDefault="00000000">
            <w:r>
              <w:lastRenderedPageBreak/>
              <w:t>3</w:t>
            </w:r>
          </w:p>
        </w:tc>
        <w:tc>
          <w:tcPr>
            <w:tcW w:w="2880" w:type="dxa"/>
          </w:tcPr>
          <w:p w14:paraId="2115CF1D" w14:textId="77777777" w:rsidR="00C2226D" w:rsidRDefault="00000000">
            <w:r>
              <w:t>Bandpass filter</w:t>
            </w:r>
          </w:p>
        </w:tc>
        <w:tc>
          <w:tcPr>
            <w:tcW w:w="2880" w:type="dxa"/>
          </w:tcPr>
          <w:p w14:paraId="5CB75D95" w14:textId="77777777" w:rsidR="00C2226D" w:rsidRDefault="00000000">
            <w:r>
              <w:t>4th-order Butterworth, 20–450 Hz, zero-phase</w:t>
            </w:r>
          </w:p>
        </w:tc>
      </w:tr>
      <w:tr w:rsidR="00C2226D" w14:paraId="4103ECD3" w14:textId="77777777">
        <w:tc>
          <w:tcPr>
            <w:tcW w:w="2880" w:type="dxa"/>
          </w:tcPr>
          <w:p w14:paraId="3DB0009F" w14:textId="77777777" w:rsidR="00C2226D" w:rsidRDefault="00000000">
            <w:r>
              <w:t>4</w:t>
            </w:r>
          </w:p>
        </w:tc>
        <w:tc>
          <w:tcPr>
            <w:tcW w:w="2880" w:type="dxa"/>
          </w:tcPr>
          <w:p w14:paraId="2414A164" w14:textId="77777777" w:rsidR="00C2226D" w:rsidRDefault="00000000">
            <w:r>
              <w:t>Cycle detection</w:t>
            </w:r>
          </w:p>
        </w:tc>
        <w:tc>
          <w:tcPr>
            <w:tcW w:w="2880" w:type="dxa"/>
          </w:tcPr>
          <w:p w14:paraId="46803F29" w14:textId="77777777" w:rsidR="00C2226D" w:rsidRDefault="00000000">
            <w:r>
              <w:t>Bilateral GA envelope peak detection, 0.5–1.5 s range</w:t>
            </w:r>
          </w:p>
        </w:tc>
      </w:tr>
      <w:tr w:rsidR="00C2226D" w14:paraId="4ECEBFCB" w14:textId="77777777">
        <w:tc>
          <w:tcPr>
            <w:tcW w:w="2880" w:type="dxa"/>
          </w:tcPr>
          <w:p w14:paraId="4EA127D4" w14:textId="77777777" w:rsidR="00C2226D" w:rsidRDefault="00000000">
            <w:r>
              <w:t>5</w:t>
            </w:r>
          </w:p>
        </w:tc>
        <w:tc>
          <w:tcPr>
            <w:tcW w:w="2880" w:type="dxa"/>
          </w:tcPr>
          <w:p w14:paraId="1781CD4E" w14:textId="77777777" w:rsidR="00C2226D" w:rsidRDefault="00000000">
            <w:r>
              <w:t>Bin segmentation</w:t>
            </w:r>
          </w:p>
        </w:tc>
        <w:tc>
          <w:tcPr>
            <w:tcW w:w="2880" w:type="dxa"/>
          </w:tcPr>
          <w:p w14:paraId="69ADE247" w14:textId="77777777" w:rsidR="00C2226D" w:rsidRDefault="00000000">
            <w:r>
              <w:t>Equal sample-index division: 8 bins (primary), 16 bins (sensitivity)</w:t>
            </w:r>
          </w:p>
        </w:tc>
      </w:tr>
      <w:tr w:rsidR="00C2226D" w14:paraId="6C0615AE" w14:textId="77777777">
        <w:tc>
          <w:tcPr>
            <w:tcW w:w="2880" w:type="dxa"/>
          </w:tcPr>
          <w:p w14:paraId="6CA0AE34" w14:textId="77777777" w:rsidR="00C2226D" w:rsidRDefault="00000000">
            <w:r>
              <w:t>6</w:t>
            </w:r>
          </w:p>
        </w:tc>
        <w:tc>
          <w:tcPr>
            <w:tcW w:w="2880" w:type="dxa"/>
          </w:tcPr>
          <w:p w14:paraId="6B47EA76" w14:textId="77777777" w:rsidR="00C2226D" w:rsidRDefault="00000000">
            <w:r>
              <w:t>Feature extraction</w:t>
            </w:r>
          </w:p>
        </w:tc>
        <w:tc>
          <w:tcPr>
            <w:tcW w:w="2880" w:type="dxa"/>
          </w:tcPr>
          <w:p w14:paraId="40FAAE86" w14:textId="77777777" w:rsidR="00C2226D" w:rsidRDefault="00000000">
            <w:r>
              <w:t>18 features per channel per bin (180D total)</w:t>
            </w:r>
          </w:p>
        </w:tc>
      </w:tr>
      <w:tr w:rsidR="00C2226D" w14:paraId="74C30F37" w14:textId="77777777">
        <w:tc>
          <w:tcPr>
            <w:tcW w:w="2880" w:type="dxa"/>
          </w:tcPr>
          <w:p w14:paraId="407AAD98" w14:textId="77777777" w:rsidR="00C2226D" w:rsidRDefault="00000000">
            <w:r>
              <w:t>7</w:t>
            </w:r>
          </w:p>
        </w:tc>
        <w:tc>
          <w:tcPr>
            <w:tcW w:w="2880" w:type="dxa"/>
          </w:tcPr>
          <w:p w14:paraId="3D6283F3" w14:textId="77777777" w:rsidR="00C2226D" w:rsidRDefault="00000000">
            <w:r>
              <w:t>Standardization</w:t>
            </w:r>
          </w:p>
        </w:tc>
        <w:tc>
          <w:tcPr>
            <w:tcW w:w="2880" w:type="dxa"/>
          </w:tcPr>
          <w:p w14:paraId="076CD20E" w14:textId="77777777" w:rsidR="00C2226D" w:rsidRDefault="00000000">
            <w:r>
              <w:t>StandardScaler fitted on NW condition data</w:t>
            </w:r>
          </w:p>
        </w:tc>
      </w:tr>
      <w:tr w:rsidR="00C2226D" w14:paraId="021E180C" w14:textId="77777777">
        <w:tc>
          <w:tcPr>
            <w:tcW w:w="2880" w:type="dxa"/>
          </w:tcPr>
          <w:p w14:paraId="7A2BB0A8" w14:textId="77777777" w:rsidR="00C2226D" w:rsidRDefault="00000000">
            <w:r>
              <w:t>8</w:t>
            </w:r>
          </w:p>
        </w:tc>
        <w:tc>
          <w:tcPr>
            <w:tcW w:w="2880" w:type="dxa"/>
          </w:tcPr>
          <w:p w14:paraId="79250AA6" w14:textId="77777777" w:rsidR="00C2226D" w:rsidRDefault="00000000">
            <w:r>
              <w:t>UMAP embedding</w:t>
            </w:r>
          </w:p>
        </w:tc>
        <w:tc>
          <w:tcPr>
            <w:tcW w:w="2880" w:type="dxa"/>
          </w:tcPr>
          <w:p w14:paraId="1D16789E" w14:textId="77777777" w:rsidR="00C2226D" w:rsidRDefault="00000000">
            <w:r>
              <w:t>NW-fit only; UE/PE projected via learned transform</w:t>
            </w:r>
          </w:p>
        </w:tc>
      </w:tr>
      <w:tr w:rsidR="00C2226D" w14:paraId="3EBF0F5F" w14:textId="77777777">
        <w:tc>
          <w:tcPr>
            <w:tcW w:w="2880" w:type="dxa"/>
          </w:tcPr>
          <w:p w14:paraId="578D453F" w14:textId="77777777" w:rsidR="00C2226D" w:rsidRDefault="00000000">
            <w:r>
              <w:t>9</w:t>
            </w:r>
          </w:p>
        </w:tc>
        <w:tc>
          <w:tcPr>
            <w:tcW w:w="2880" w:type="dxa"/>
          </w:tcPr>
          <w:p w14:paraId="61A66744" w14:textId="77777777" w:rsidR="00C2226D" w:rsidRDefault="00000000">
            <w:r>
              <w:t>DBSCAN clustering</w:t>
            </w:r>
          </w:p>
        </w:tc>
        <w:tc>
          <w:tcPr>
            <w:tcW w:w="2880" w:type="dxa"/>
          </w:tcPr>
          <w:p w14:paraId="47D48354" w14:textId="77777777" w:rsidR="00C2226D" w:rsidRDefault="00000000">
            <w:r>
              <w:t>min_samples = 14, knee-based ε selection</w:t>
            </w:r>
          </w:p>
        </w:tc>
      </w:tr>
      <w:tr w:rsidR="00C2226D" w14:paraId="1C58F18D" w14:textId="77777777">
        <w:tc>
          <w:tcPr>
            <w:tcW w:w="2880" w:type="dxa"/>
          </w:tcPr>
          <w:p w14:paraId="42BD91E5" w14:textId="77777777" w:rsidR="00C2226D" w:rsidRDefault="00000000">
            <w:r>
              <w:t>10</w:t>
            </w:r>
          </w:p>
        </w:tc>
        <w:tc>
          <w:tcPr>
            <w:tcW w:w="2880" w:type="dxa"/>
          </w:tcPr>
          <w:p w14:paraId="7D92C49F" w14:textId="77777777" w:rsidR="00C2226D" w:rsidRDefault="00000000">
            <w:r>
              <w:t>WSI computation</w:t>
            </w:r>
          </w:p>
        </w:tc>
        <w:tc>
          <w:tcPr>
            <w:tcW w:w="2880" w:type="dxa"/>
          </w:tcPr>
          <w:p w14:paraId="028DFE14" w14:textId="77777777" w:rsidR="00C2226D" w:rsidRDefault="00000000">
            <w:r>
              <w:t>WSI-1 (centroid), WSI-2 (SW₂), WSI-3 (occupancy TV)</w:t>
            </w:r>
          </w:p>
        </w:tc>
      </w:tr>
      <w:tr w:rsidR="00C2226D" w14:paraId="19EC0CD4" w14:textId="77777777">
        <w:tc>
          <w:tcPr>
            <w:tcW w:w="2880" w:type="dxa"/>
          </w:tcPr>
          <w:p w14:paraId="1B376F1E" w14:textId="77777777" w:rsidR="00C2226D" w:rsidRDefault="00000000">
            <w:r>
              <w:t>11</w:t>
            </w:r>
          </w:p>
        </w:tc>
        <w:tc>
          <w:tcPr>
            <w:tcW w:w="2880" w:type="dxa"/>
          </w:tcPr>
          <w:p w14:paraId="38AE818E" w14:textId="77777777" w:rsidR="00C2226D" w:rsidRDefault="00000000">
            <w:r>
              <w:t>Subject-level inference</w:t>
            </w:r>
          </w:p>
        </w:tc>
        <w:tc>
          <w:tcPr>
            <w:tcW w:w="2880" w:type="dxa"/>
          </w:tcPr>
          <w:p w14:paraId="19ACEC25" w14:textId="77777777" w:rsidR="00C2226D" w:rsidRDefault="00000000">
            <w:r>
              <w:t>Within-subject NW reference, paired bootstrap + Wilcoxon</w:t>
            </w:r>
          </w:p>
        </w:tc>
      </w:tr>
    </w:tbl>
    <w:p w14:paraId="0FB4DC23" w14:textId="77777777" w:rsidR="00C2226D" w:rsidRDefault="00000000">
      <w:pPr>
        <w:pStyle w:val="Heading2"/>
        <w:spacing w:line="480" w:lineRule="auto"/>
      </w:pPr>
      <w:r>
        <w:t>Supplementary Note Table 3: Internal cluster quality indices</w:t>
      </w:r>
    </w:p>
    <w:p w14:paraId="286DEA41" w14:textId="77777777" w:rsidR="00C2226D" w:rsidRDefault="00000000">
      <w:pPr>
        <w:spacing w:line="480" w:lineRule="auto"/>
      </w:pPr>
      <w:r>
        <w:t>Internal cluster quality was assessed using three standard indices, computed on the DBSCAN labels in the fixed NW-reference embedding.</w:t>
      </w:r>
    </w:p>
    <w:tbl>
      <w:tblPr>
        <w:tblStyle w:val="TableGrid"/>
        <w:tblW w:w="0" w:type="auto"/>
        <w:tblLook w:val="04A0" w:firstRow="1" w:lastRow="0" w:firstColumn="1" w:lastColumn="0" w:noHBand="0" w:noVBand="1"/>
      </w:tblPr>
      <w:tblGrid>
        <w:gridCol w:w="2160"/>
        <w:gridCol w:w="2160"/>
        <w:gridCol w:w="2160"/>
        <w:gridCol w:w="2160"/>
      </w:tblGrid>
      <w:tr w:rsidR="00C2226D" w14:paraId="78DCB84D" w14:textId="77777777">
        <w:tc>
          <w:tcPr>
            <w:tcW w:w="2160" w:type="dxa"/>
          </w:tcPr>
          <w:p w14:paraId="1BC09AA7" w14:textId="77777777" w:rsidR="00C2226D" w:rsidRDefault="00000000">
            <w:r>
              <w:t>Resolution</w:t>
            </w:r>
          </w:p>
        </w:tc>
        <w:tc>
          <w:tcPr>
            <w:tcW w:w="2160" w:type="dxa"/>
          </w:tcPr>
          <w:p w14:paraId="46F9C6BE" w14:textId="77777777" w:rsidR="00C2226D" w:rsidRDefault="00000000">
            <w:r>
              <w:t>Silhouette</w:t>
            </w:r>
          </w:p>
        </w:tc>
        <w:tc>
          <w:tcPr>
            <w:tcW w:w="2160" w:type="dxa"/>
          </w:tcPr>
          <w:p w14:paraId="774A4B33" w14:textId="77777777" w:rsidR="00C2226D" w:rsidRDefault="00000000">
            <w:r>
              <w:t>Calinski-Harabasz</w:t>
            </w:r>
          </w:p>
        </w:tc>
        <w:tc>
          <w:tcPr>
            <w:tcW w:w="2160" w:type="dxa"/>
          </w:tcPr>
          <w:p w14:paraId="7833DE1B" w14:textId="77777777" w:rsidR="00C2226D" w:rsidRDefault="00000000">
            <w:r>
              <w:t>Davies-Bouldin</w:t>
            </w:r>
          </w:p>
        </w:tc>
      </w:tr>
      <w:tr w:rsidR="00C2226D" w14:paraId="60EC1191" w14:textId="77777777">
        <w:tc>
          <w:tcPr>
            <w:tcW w:w="2160" w:type="dxa"/>
          </w:tcPr>
          <w:p w14:paraId="469763F9" w14:textId="77777777" w:rsidR="00C2226D" w:rsidRDefault="00000000">
            <w:r>
              <w:t>8-bin</w:t>
            </w:r>
          </w:p>
        </w:tc>
        <w:tc>
          <w:tcPr>
            <w:tcW w:w="2160" w:type="dxa"/>
          </w:tcPr>
          <w:p w14:paraId="38E326FE" w14:textId="77777777" w:rsidR="00C2226D" w:rsidRDefault="00000000">
            <w:r>
              <w:t>0.010</w:t>
            </w:r>
          </w:p>
        </w:tc>
        <w:tc>
          <w:tcPr>
            <w:tcW w:w="2160" w:type="dxa"/>
          </w:tcPr>
          <w:p w14:paraId="7D5BA873" w14:textId="77777777" w:rsidR="00C2226D" w:rsidRDefault="00000000">
            <w:r>
              <w:t>Reported in reproducibility package</w:t>
            </w:r>
          </w:p>
        </w:tc>
        <w:tc>
          <w:tcPr>
            <w:tcW w:w="2160" w:type="dxa"/>
          </w:tcPr>
          <w:p w14:paraId="405A3D3D" w14:textId="77777777" w:rsidR="00C2226D" w:rsidRDefault="00000000">
            <w:r>
              <w:t>Reported in reproducibility package</w:t>
            </w:r>
          </w:p>
        </w:tc>
      </w:tr>
      <w:tr w:rsidR="00C2226D" w14:paraId="246150C4" w14:textId="77777777">
        <w:tc>
          <w:tcPr>
            <w:tcW w:w="2160" w:type="dxa"/>
          </w:tcPr>
          <w:p w14:paraId="5B6AE1A8" w14:textId="77777777" w:rsidR="00C2226D" w:rsidRDefault="00000000">
            <w:r>
              <w:t>16-bin</w:t>
            </w:r>
          </w:p>
        </w:tc>
        <w:tc>
          <w:tcPr>
            <w:tcW w:w="2160" w:type="dxa"/>
          </w:tcPr>
          <w:p w14:paraId="2E5FDF25" w14:textId="77777777" w:rsidR="00C2226D" w:rsidRDefault="00000000">
            <w:r>
              <w:t>Reported in reproducibility package</w:t>
            </w:r>
          </w:p>
        </w:tc>
        <w:tc>
          <w:tcPr>
            <w:tcW w:w="2160" w:type="dxa"/>
          </w:tcPr>
          <w:p w14:paraId="2F00649C" w14:textId="77777777" w:rsidR="00C2226D" w:rsidRDefault="00000000">
            <w:r>
              <w:t>Reported in reproducibility package</w:t>
            </w:r>
          </w:p>
        </w:tc>
        <w:tc>
          <w:tcPr>
            <w:tcW w:w="2160" w:type="dxa"/>
          </w:tcPr>
          <w:p w14:paraId="3D208A2A" w14:textId="77777777" w:rsidR="00C2226D" w:rsidRDefault="00000000">
            <w:r>
              <w:t>Reported in reproducibility package</w:t>
            </w:r>
          </w:p>
        </w:tc>
      </w:tr>
    </w:tbl>
    <w:p w14:paraId="44642B12" w14:textId="77777777" w:rsidR="00C2226D" w:rsidRDefault="00C2226D">
      <w:pPr>
        <w:spacing w:line="480" w:lineRule="auto"/>
      </w:pPr>
      <w:r/>
    </w:p>
    <w:p w14:paraId="51D53066" w14:textId="77777777" w:rsidR="00C2226D" w:rsidRDefault="00000000">
      <w:pPr>
        <w:spacing w:line="480" w:lineRule="auto"/>
      </w:pPr>
      <w:r>
        <w:t>Note: Silhouette score for 8-bin was 0.010, reflecting the high overlap between DBSCAN states in the embedding space. Detailed values and bootstrap distributions are available in the reproducibility package [42].</w:t>
      </w:r>
    </w:p>
    <w:p>
      <w:r/>
    </w:p>
    <w:sectPr w:rsidR="00C2226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1830738">
    <w:abstractNumId w:val="8"/>
  </w:num>
  <w:num w:numId="2" w16cid:durableId="585263977">
    <w:abstractNumId w:val="6"/>
  </w:num>
  <w:num w:numId="3" w16cid:durableId="1114667906">
    <w:abstractNumId w:val="5"/>
  </w:num>
  <w:num w:numId="4" w16cid:durableId="328798435">
    <w:abstractNumId w:val="4"/>
  </w:num>
  <w:num w:numId="5" w16cid:durableId="220142778">
    <w:abstractNumId w:val="7"/>
  </w:num>
  <w:num w:numId="6" w16cid:durableId="2080208202">
    <w:abstractNumId w:val="3"/>
  </w:num>
  <w:num w:numId="7" w16cid:durableId="1722630611">
    <w:abstractNumId w:val="2"/>
  </w:num>
  <w:num w:numId="8" w16cid:durableId="2085947705">
    <w:abstractNumId w:val="1"/>
  </w:num>
  <w:num w:numId="9" w16cid:durableId="869143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752CC"/>
    <w:rsid w:val="004850B8"/>
    <w:rsid w:val="00AA1D8D"/>
    <w:rsid w:val="00B47730"/>
    <w:rsid w:val="00C2226D"/>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891D9D"/>
  <w14:defaultImageDpi w14:val="300"/>
  <w15:docId w15:val="{92C9B0E9-D9EF-024A-B917-D446AE972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749</Words>
  <Characters>4701</Characters>
  <Application>Microsoft Office Word</Application>
  <DocSecurity>0</DocSecurity>
  <Lines>155</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송비 이</cp:lastModifiedBy>
  <cp:revision>2</cp:revision>
  <dcterms:created xsi:type="dcterms:W3CDTF">2013-12-23T23:15:00Z</dcterms:created>
  <dcterms:modified xsi:type="dcterms:W3CDTF">2026-04-17T01:13:00Z</dcterms:modified>
  <cp:category/>
</cp:coreProperties>
</file>