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c="http://schemas.openxmlformats.org/markup-compatibility/2006" xmlns:w="http://schemas.openxmlformats.org/wordprocessingml/2006/main" mc:Ignorable="w14 wp14">
  <w:body>
    <w:p>
      <w:pPr>
        <w:pStyle w:val="Heading1"/>
      </w:pPr>
      <w:r>
        <w:t>STROBE Reporting Guideline Checklist</w:t>
      </w:r>
    </w:p>
    <w:p>
      <w:r>
        <w:t>Manuscript: Reference-space quantification of cycle-binned multichannel EMG coordination shifts: internal evaluation and application to soft-suit walking</w:t>
      </w:r>
    </w:p>
    <w:p>
      <w:r>
        <w:t>Study type: observational methodological case-study / EMG coordination-shift methodological evaluation; non-interventional efficacy trial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Item</w:t>
            </w:r>
          </w:p>
        </w:tc>
        <w:tc>
          <w:tcPr>
            <w:tcW w:type="dxa" w:w="2880"/>
          </w:tcPr>
          <w:p>
            <w:r>
              <w:t>Status</w:t>
            </w:r>
          </w:p>
        </w:tc>
        <w:tc>
          <w:tcPr>
            <w:tcW w:type="dxa" w:w="2880"/>
          </w:tcPr>
          <w:p>
            <w:r>
              <w:t>Location in manuscript</w:t>
            </w:r>
          </w:p>
        </w:tc>
      </w:tr>
      <w:tr>
        <w:tc>
          <w:tcPr>
            <w:tcW w:type="dxa" w:w="2880"/>
          </w:tcPr>
          <w:p>
            <w:r>
              <w:t>Title and abstract</w:t>
            </w:r>
          </w:p>
        </w:tc>
        <w:tc>
          <w:tcPr>
            <w:tcW w:type="dxa" w:w="2880"/>
          </w:tcPr>
          <w:p>
            <w:r>
              <w:t>Addressed</w:t>
            </w:r>
          </w:p>
        </w:tc>
        <w:tc>
          <w:tcPr>
            <w:tcW w:type="dxa" w:w="2880"/>
          </w:tcPr>
          <w:p>
            <w:r>
              <w:t>Title and Abstract (methodological scope and non-efficacy framing)</w:t>
            </w:r>
          </w:p>
        </w:tc>
      </w:tr>
      <w:tr>
        <w:tc>
          <w:tcPr>
            <w:tcW w:type="dxa" w:w="2880"/>
          </w:tcPr>
          <w:p>
            <w:r>
              <w:t>Background/rationale</w:t>
            </w:r>
          </w:p>
        </w:tc>
        <w:tc>
          <w:tcPr>
            <w:tcW w:type="dxa" w:w="2880"/>
          </w:tcPr>
          <w:p>
            <w:r>
              <w:t>Addressed</w:t>
            </w:r>
          </w:p>
        </w:tc>
        <w:tc>
          <w:tcPr>
            <w:tcW w:type="dxa" w:w="2880"/>
          </w:tcPr>
          <w:p>
            <w:r>
              <w:t>Introduction (signal-processing motivation and reference-space framework)</w:t>
            </w:r>
          </w:p>
        </w:tc>
      </w:tr>
      <w:tr>
        <w:tc>
          <w:tcPr>
            <w:tcW w:type="dxa" w:w="2880"/>
          </w:tcPr>
          <w:p>
            <w:r>
              <w:t>Objectives</w:t>
            </w:r>
          </w:p>
        </w:tc>
        <w:tc>
          <w:tcPr>
            <w:tcW w:type="dxa" w:w="2880"/>
          </w:tcPr>
          <w:p>
            <w:r>
              <w:t>Addressed</w:t>
            </w:r>
          </w:p>
        </w:tc>
        <w:tc>
          <w:tcPr>
            <w:tcW w:type="dxa" w:w="2880"/>
          </w:tcPr>
          <w:p>
            <w:r>
              <w:t>Introduction final paragraph and end of Methods overview</w:t>
            </w:r>
          </w:p>
        </w:tc>
      </w:tr>
      <w:tr>
        <w:tc>
          <w:tcPr>
            <w:tcW w:type="dxa" w:w="2880"/>
          </w:tcPr>
          <w:p>
            <w:r>
              <w:t>Study design</w:t>
            </w:r>
          </w:p>
        </w:tc>
        <w:tc>
          <w:tcPr>
            <w:tcW w:type="dxa" w:w="2880"/>
          </w:tcPr>
          <w:p>
            <w:r>
              <w:t>Addressed</w:t>
            </w:r>
          </w:p>
        </w:tc>
        <w:tc>
          <w:tcPr>
            <w:tcW w:type="dxa" w:w="2880"/>
          </w:tcPr>
          <w:p>
            <w:r>
              <w:t>Methods (fixed-reference embedding workflow and internal evaluation design)</w:t>
            </w:r>
          </w:p>
        </w:tc>
      </w:tr>
      <w:tr>
        <w:tc>
          <w:tcPr>
            <w:tcW w:type="dxa" w:w="2880"/>
          </w:tcPr>
          <w:p>
            <w:r>
              <w:t>Setting and conditions</w:t>
            </w:r>
          </w:p>
        </w:tc>
        <w:tc>
          <w:tcPr>
            <w:tcW w:type="dxa" w:w="2880"/>
          </w:tcPr>
          <w:p>
            <w:r>
              <w:t>Addressed</w:t>
            </w:r>
          </w:p>
        </w:tc>
        <w:tc>
          <w:tcPr>
            <w:tcW w:type="dxa" w:w="2880"/>
          </w:tcPr>
          <w:p>
            <w:r>
              <w:t>Methods (three treadmill walking conditions: NW, UE, PE)</w:t>
            </w:r>
          </w:p>
        </w:tc>
      </w:tr>
      <w:tr>
        <w:tc>
          <w:tcPr>
            <w:tcW w:type="dxa" w:w="2880"/>
          </w:tcPr>
          <w:p>
            <w:r>
              <w:t>Participants</w:t>
            </w:r>
          </w:p>
        </w:tc>
        <w:tc>
          <w:tcPr>
            <w:tcW w:type="dxa" w:w="2880"/>
          </w:tcPr>
          <w:p>
            <w:r>
              <w:t>Addressed</w:t>
            </w:r>
          </w:p>
        </w:tc>
        <w:tc>
          <w:tcPr>
            <w:tcW w:type="dxa" w:w="2880"/>
          </w:tcPr>
          <w:p>
            <w:r>
              <w:t>Methods 2.1 (participant cohort and ethics approval)</w:t>
            </w:r>
          </w:p>
        </w:tc>
      </w:tr>
      <w:tr>
        <w:tc>
          <w:tcPr>
            <w:tcW w:type="dxa" w:w="2880"/>
          </w:tcPr>
          <w:p>
            <w:r>
              <w:t>Variables and outcomes</w:t>
            </w:r>
          </w:p>
        </w:tc>
        <w:tc>
          <w:tcPr>
            <w:tcW w:type="dxa" w:w="2880"/>
          </w:tcPr>
          <w:p>
            <w:r>
              <w:t>Addressed</w:t>
            </w:r>
          </w:p>
        </w:tc>
        <w:tc>
          <w:tcPr>
            <w:tcW w:type="dxa" w:w="2880"/>
          </w:tcPr>
          <w:p>
            <w:r>
              <w:t>Methods 2.4-2.7 (WSI-1/2/3, secondary amplitude/asymmetry/network endpoints)</w:t>
            </w:r>
          </w:p>
        </w:tc>
      </w:tr>
      <w:tr>
        <w:tc>
          <w:tcPr>
            <w:tcW w:type="dxa" w:w="2880"/>
          </w:tcPr>
          <w:p>
            <w:r>
              <w:t>Data sources/measurement</w:t>
            </w:r>
          </w:p>
        </w:tc>
        <w:tc>
          <w:tcPr>
            <w:tcW w:type="dxa" w:w="2880"/>
          </w:tcPr>
          <w:p>
            <w:r>
              <w:t>Addressed</w:t>
            </w:r>
          </w:p>
        </w:tc>
        <w:tc>
          <w:tcPr>
            <w:tcW w:type="dxa" w:w="2880"/>
          </w:tcPr>
          <w:p>
            <w:r>
              <w:t>Methods 2.2-2.3 (sEMG acquisition, preprocessing, cycle-binned features)</w:t>
            </w:r>
          </w:p>
        </w:tc>
      </w:tr>
      <w:tr>
        <w:tc>
          <w:tcPr>
            <w:tcW w:type="dxa" w:w="2880"/>
          </w:tcPr>
          <w:p>
            <w:r>
              <w:t>Bias/limitations handling</w:t>
            </w:r>
          </w:p>
        </w:tc>
        <w:tc>
          <w:tcPr>
            <w:tcW w:type="dxa" w:w="2880"/>
          </w:tcPr>
          <w:p>
            <w:r>
              <w:t>Addressed</w:t>
            </w:r>
          </w:p>
        </w:tc>
        <w:tc>
          <w:tcPr>
            <w:tcW w:type="dxa" w:w="2880"/>
          </w:tcPr>
          <w:p>
            <w:r>
              <w:t>Methods and Discussion (LOSO checks, cycle-count imbalance, uncertainty-aware interpretation)</w:t>
            </w:r>
          </w:p>
        </w:tc>
      </w:tr>
      <w:tr>
        <w:tc>
          <w:tcPr>
            <w:tcW w:type="dxa" w:w="2880"/>
          </w:tcPr>
          <w:p>
            <w:r>
              <w:t>Study size</w:t>
            </w:r>
          </w:p>
        </w:tc>
        <w:tc>
          <w:tcPr>
            <w:tcW w:type="dxa" w:w="2880"/>
          </w:tcPr>
          <w:p>
            <w:r>
              <w:t>Addressed</w:t>
            </w:r>
          </w:p>
        </w:tc>
        <w:tc>
          <w:tcPr>
            <w:tcW w:type="dxa" w:w="2880"/>
          </w:tcPr>
          <w:p>
            <w:r>
              <w:t>Methods 2.1 and Results (n=10 case-study cohort)</w:t>
            </w:r>
          </w:p>
        </w:tc>
      </w:tr>
      <w:tr>
        <w:tc>
          <w:tcPr>
            <w:tcW w:type="dxa" w:w="2880"/>
          </w:tcPr>
          <w:p>
            <w:r>
              <w:t>Quantitative variables/statistical methods</w:t>
            </w:r>
          </w:p>
        </w:tc>
        <w:tc>
          <w:tcPr>
            <w:tcW w:type="dxa" w:w="2880"/>
          </w:tcPr>
          <w:p>
            <w:r>
              <w:t>Addressed</w:t>
            </w:r>
          </w:p>
        </w:tc>
        <w:tc>
          <w:tcPr>
            <w:tcW w:type="dxa" w:w="2880"/>
          </w:tcPr>
          <w:p>
            <w:r>
              <w:t>Methods 2.5-2.9 (paired contrasts, bootstrap intervals, robustness analyses)</w:t>
            </w:r>
          </w:p>
        </w:tc>
      </w:tr>
      <w:tr>
        <w:tc>
          <w:tcPr>
            <w:tcW w:type="dxa" w:w="2880"/>
          </w:tcPr>
          <w:p>
            <w:r>
              <w:t>Participant-level results</w:t>
            </w:r>
          </w:p>
        </w:tc>
        <w:tc>
          <w:tcPr>
            <w:tcW w:type="dxa" w:w="2880"/>
          </w:tcPr>
          <w:p>
            <w:r>
              <w:t>Addressed</w:t>
            </w:r>
          </w:p>
        </w:tc>
        <w:tc>
          <w:tcPr>
            <w:tcW w:type="dxa" w:w="2880"/>
          </w:tcPr>
          <w:p>
            <w:r>
              <w:t>Results 3.1-3.2 and Table 3 (paired WSI summaries with intervals)</w:t>
            </w:r>
          </w:p>
        </w:tc>
      </w:tr>
      <w:tr>
        <w:tc>
          <w:tcPr>
            <w:tcW w:type="dxa" w:w="2880"/>
          </w:tcPr>
          <w:p>
            <w:r>
              <w:t>Secondary/descriptive results</w:t>
            </w:r>
          </w:p>
        </w:tc>
        <w:tc>
          <w:tcPr>
            <w:tcW w:type="dxa" w:w="2880"/>
          </w:tcPr>
          <w:p>
            <w:r>
              <w:t>Addressed</w:t>
            </w:r>
          </w:p>
        </w:tc>
        <w:tc>
          <w:tcPr>
            <w:tcW w:type="dxa" w:w="2880"/>
          </w:tcPr>
          <w:p>
            <w:r>
              <w:t>Results 3.3-3.5 and Tables 1-2 (descriptive pooled and endpoint context)</w:t>
            </w:r>
          </w:p>
        </w:tc>
      </w:tr>
      <w:tr>
        <w:tc>
          <w:tcPr>
            <w:tcW w:type="dxa" w:w="2880"/>
          </w:tcPr>
          <w:p>
            <w:r>
              <w:t>Main findings interpretation</w:t>
            </w:r>
          </w:p>
        </w:tc>
        <w:tc>
          <w:tcPr>
            <w:tcW w:type="dxa" w:w="2880"/>
          </w:tcPr>
          <w:p>
            <w:r>
              <w:t>Addressed</w:t>
            </w:r>
          </w:p>
        </w:tc>
        <w:tc>
          <w:tcPr>
            <w:tcW w:type="dxa" w:w="2880"/>
          </w:tcPr>
          <w:p>
            <w:r>
              <w:t>Discussion (methodological interpretation; no assistance-efficacy claim)</w:t>
            </w:r>
          </w:p>
        </w:tc>
      </w:tr>
      <w:tr>
        <w:tc>
          <w:tcPr>
            <w:tcW w:type="dxa" w:w="2880"/>
          </w:tcPr>
          <w:p>
            <w:r>
              <w:t>Generalisability</w:t>
            </w:r>
          </w:p>
        </w:tc>
        <w:tc>
          <w:tcPr>
            <w:tcW w:type="dxa" w:w="2880"/>
          </w:tcPr>
          <w:p>
            <w:r>
              <w:t>Addressed</w:t>
            </w:r>
          </w:p>
        </w:tc>
        <w:tc>
          <w:tcPr>
            <w:tcW w:type="dxa" w:w="2880"/>
          </w:tcPr>
          <w:p>
            <w:r>
              <w:t>Discussion and Conclusions (external validation needs and scope limits)</w:t>
            </w:r>
          </w:p>
        </w:tc>
      </w:tr>
      <w:tr>
        <w:tc>
          <w:tcPr>
            <w:tcW w:type="dxa" w:w="2880"/>
          </w:tcPr>
          <w:p>
            <w:r>
              <w:t>Funding, ethics, conflicts, AI declaration</w:t>
            </w:r>
          </w:p>
        </w:tc>
        <w:tc>
          <w:tcPr>
            <w:tcW w:type="dxa" w:w="2880"/>
          </w:tcPr>
          <w:p>
            <w:r>
              <w:t>Addressed</w:t>
            </w:r>
          </w:p>
        </w:tc>
        <w:tc>
          <w:tcPr>
            <w:tcW w:type="dxa" w:w="2880"/>
          </w:tcPr>
          <w:p>
            <w:r>
              <w:t>End matter sections in manuscript + separate Competing Interest file</w:t>
            </w:r>
          </w:p>
        </w:tc>
      </w:tr>
      <w:tr>
        <w:tc>
          <w:tcPr>
            <w:tcW w:type="dxa" w:w="2880"/>
          </w:tcPr>
          <w:p>
            <w:r>
              <w:t>Data/software availability</w:t>
            </w:r>
          </w:p>
        </w:tc>
        <w:tc>
          <w:tcPr>
            <w:tcW w:type="dxa" w:w="2880"/>
          </w:tcPr>
          <w:p>
            <w:r>
              <w:t>Addressed</w:t>
            </w:r>
          </w:p>
        </w:tc>
        <w:tc>
          <w:tcPr>
            <w:tcW w:type="dxa" w:w="2880"/>
          </w:tcPr>
          <w:p>
            <w:r>
              <w:t>Methods 2.10 and supplementary package (software + validation files)</w:t>
            </w:r>
          </w:p>
        </w:tc>
      </w:tr>
    </w:tbl>
    <w:p>
      <w:r/>
    </w:p>
    <w:p>
      <w:r>
        <w:t>Notes: This checklist accompanies the Scientific Reports submission package for transparency and reporting completeness. The study is framed as methodological internal evaluation of EMG signal-processing endpoints, not as an interventional efficacy trial.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