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29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73040" cy="2409825"/>
            <wp:effectExtent l="0" t="0" r="10160" b="3175"/>
            <wp:docPr id="1" name="图片 1" descr="Fig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 S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10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Figure S2. Sensitivity analyses of Mendelian randomization.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A-D. Forest plot, funnel plot, leave-one-out analysis, and scatter plot for HLA-DRB5. E-H. Forest plot, funnel plot, leave-one-out analysis, and scatter plot for NUSAP1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2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2026-05-09T16:21:53Z</dcterms:created>
  <dc:creator>张逸飞</dc:creator>
  <cp:lastModifiedBy>Yifei Zhang</cp:lastModifiedBy>
  <dcterms:modified xsi:type="dcterms:W3CDTF">2026-05-09T16:22:36Z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eyJoZGlkIjoiMzEwNTM5NzYwMDRjMzkwZTVkZjY2ODkwMGIxNGU0OTUiLCJ1c2VySWQiOiI0MTcyMTkyNjQifQ==</vt:lpwstr>
  </property>
  <property fmtid="{D5CDD505-2E9C-101B-9397-08002B2CF9AE}" pid="4" name="ICV">
    <vt:lpwstr>9ECB74289227470F9ACDA3706139B579_12</vt:lpwstr>
  </property>
</Properties>
</file>