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A956C" w14:textId="77777777" w:rsidR="00BA68F9" w:rsidRDefault="00BA68F9" w:rsidP="00BA68F9">
      <w:pPr>
        <w:pStyle w:val="Heading2"/>
        <w:spacing w:after="0" w:line="480" w:lineRule="auto"/>
      </w:pPr>
      <w:bookmarkStart w:id="0" w:name="online-resources"/>
      <w:r>
        <w:rPr>
          <w:rFonts w:ascii="Times New Roman" w:eastAsia="Times New Roman" w:hAnsi="Times New Roman"/>
        </w:rPr>
        <w:t>Online Resources</w:t>
      </w:r>
    </w:p>
    <w:p w14:paraId="6C42FBEA" w14:textId="77777777" w:rsidR="00BA68F9" w:rsidRDefault="00BA68F9" w:rsidP="00BA68F9">
      <w:pPr>
        <w:pStyle w:val="FirstParagraph"/>
        <w:spacing w:after="0" w:line="480" w:lineRule="auto"/>
      </w:pPr>
      <w:r>
        <w:rPr>
          <w:b/>
          <w:bCs/>
        </w:rPr>
        <w:t>Online Resource 1.</w:t>
      </w:r>
      <w:r>
        <w:t xml:space="preserve"> </w:t>
      </w:r>
      <w:r>
        <w:rPr>
          <w:rStyle w:val="VerbatimChar"/>
          <w:rFonts w:ascii="Times New Roman" w:hAnsi="Times New Roman"/>
          <w:sz w:val="20"/>
        </w:rPr>
        <w:t>ESM_1.csv</w:t>
      </w:r>
      <w:r>
        <w:t xml:space="preserve"> (csv). </w:t>
      </w:r>
      <w:r>
        <w:rPr>
          <w:b/>
          <w:bCs/>
        </w:rPr>
        <w:t>Title:</w:t>
      </w:r>
      <w:r>
        <w:t xml:space="preserve"> Variable definitions. </w:t>
      </w:r>
      <w:r>
        <w:rPr>
          <w:b/>
          <w:bCs/>
        </w:rPr>
        <w:t>Description:</w:t>
      </w:r>
      <w:r>
        <w:t xml:space="preserve"> Definitions and extraction windows for exposure, outcome, and covariates.</w:t>
      </w:r>
    </w:p>
    <w:p w14:paraId="60C73C3D" w14:textId="77777777" w:rsidR="00BA68F9" w:rsidRDefault="00BA68F9" w:rsidP="00BA68F9">
      <w:pPr>
        <w:pStyle w:val="BodyText"/>
        <w:spacing w:after="0" w:line="480" w:lineRule="auto"/>
      </w:pPr>
      <w:r>
        <w:rPr>
          <w:b/>
          <w:bCs/>
        </w:rPr>
        <w:t>Online Resource 2.</w:t>
      </w:r>
      <w:r>
        <w:t xml:space="preserve"> </w:t>
      </w:r>
      <w:r>
        <w:rPr>
          <w:rStyle w:val="VerbatimChar"/>
          <w:rFonts w:ascii="Times New Roman" w:hAnsi="Times New Roman"/>
          <w:sz w:val="20"/>
        </w:rPr>
        <w:t>ESM_2.csv</w:t>
      </w:r>
      <w:r>
        <w:t xml:space="preserve"> (csv). </w:t>
      </w:r>
      <w:r>
        <w:rPr>
          <w:b/>
          <w:bCs/>
        </w:rPr>
        <w:t>Title:</w:t>
      </w:r>
      <w:r>
        <w:t xml:space="preserve"> Missingness summary. </w:t>
      </w:r>
      <w:r>
        <w:rPr>
          <w:b/>
          <w:bCs/>
        </w:rPr>
        <w:t>Description:</w:t>
      </w:r>
      <w:r>
        <w:t xml:space="preserve"> Variable-level missing data summary in the main analysis cohort.</w:t>
      </w:r>
    </w:p>
    <w:p w14:paraId="565ED04B" w14:textId="77777777" w:rsidR="00BA68F9" w:rsidRDefault="00BA68F9" w:rsidP="00BA68F9">
      <w:pPr>
        <w:pStyle w:val="BodyText"/>
        <w:spacing w:after="0" w:line="480" w:lineRule="auto"/>
      </w:pPr>
      <w:r>
        <w:rPr>
          <w:b/>
          <w:bCs/>
        </w:rPr>
        <w:t>Online Resource 3.</w:t>
      </w:r>
      <w:r>
        <w:t xml:space="preserve"> </w:t>
      </w:r>
      <w:r>
        <w:rPr>
          <w:rStyle w:val="VerbatimChar"/>
          <w:rFonts w:ascii="Times New Roman" w:hAnsi="Times New Roman"/>
          <w:sz w:val="20"/>
        </w:rPr>
        <w:t>ESM_3.csv</w:t>
      </w:r>
      <w:r>
        <w:t xml:space="preserve"> (csv). </w:t>
      </w:r>
      <w:r>
        <w:rPr>
          <w:b/>
          <w:bCs/>
        </w:rPr>
        <w:t>Title:</w:t>
      </w:r>
      <w:r>
        <w:t xml:space="preserve"> Complete-case Model 3 coefficients. </w:t>
      </w:r>
      <w:r>
        <w:rPr>
          <w:b/>
          <w:bCs/>
        </w:rPr>
        <w:t>Description:</w:t>
      </w:r>
      <w:r>
        <w:t xml:space="preserve"> Full coefficient table for the complete-case fully adjusted Cox model.</w:t>
      </w:r>
    </w:p>
    <w:p w14:paraId="0E69A8D0" w14:textId="77777777" w:rsidR="00BA68F9" w:rsidRDefault="00BA68F9" w:rsidP="00BA68F9">
      <w:pPr>
        <w:pStyle w:val="BodyText"/>
        <w:spacing w:after="0" w:line="480" w:lineRule="auto"/>
      </w:pPr>
      <w:r>
        <w:rPr>
          <w:b/>
          <w:bCs/>
        </w:rPr>
        <w:t>Online Resource 4.</w:t>
      </w:r>
      <w:r>
        <w:t xml:space="preserve"> </w:t>
      </w:r>
      <w:r>
        <w:rPr>
          <w:rStyle w:val="VerbatimChar"/>
          <w:rFonts w:ascii="Times New Roman" w:hAnsi="Times New Roman"/>
          <w:sz w:val="20"/>
        </w:rPr>
        <w:t>ESM_4.csv</w:t>
      </w:r>
      <w:r>
        <w:t xml:space="preserve"> (csv). </w:t>
      </w:r>
      <w:r>
        <w:rPr>
          <w:b/>
          <w:bCs/>
        </w:rPr>
        <w:t>Title:</w:t>
      </w:r>
      <w:r>
        <w:t xml:space="preserve"> Multiple-imputation sensitivity analysis for Model 2. </w:t>
      </w:r>
      <w:r>
        <w:rPr>
          <w:b/>
          <w:bCs/>
        </w:rPr>
        <w:t>Description:</w:t>
      </w:r>
      <w:r>
        <w:t xml:space="preserve"> Pooled coefficient estimates after multiple imputation for Model 2.</w:t>
      </w:r>
    </w:p>
    <w:p w14:paraId="067DE5B2" w14:textId="77777777" w:rsidR="00BA68F9" w:rsidRDefault="00BA68F9" w:rsidP="00BA68F9">
      <w:pPr>
        <w:pStyle w:val="BodyText"/>
        <w:spacing w:after="0" w:line="480" w:lineRule="auto"/>
      </w:pPr>
      <w:r>
        <w:rPr>
          <w:b/>
          <w:bCs/>
        </w:rPr>
        <w:t>Online Resource 5.</w:t>
      </w:r>
      <w:r>
        <w:t xml:space="preserve"> </w:t>
      </w:r>
      <w:r>
        <w:rPr>
          <w:rStyle w:val="VerbatimChar"/>
          <w:rFonts w:ascii="Times New Roman" w:hAnsi="Times New Roman"/>
          <w:sz w:val="20"/>
        </w:rPr>
        <w:t>ESM_5.csv</w:t>
      </w:r>
      <w:r>
        <w:t xml:space="preserve"> (csv). </w:t>
      </w:r>
      <w:r>
        <w:rPr>
          <w:b/>
          <w:bCs/>
        </w:rPr>
        <w:t>Title:</w:t>
      </w:r>
      <w:r>
        <w:t xml:space="preserve"> Multiple-imputation sensitivity analysis for Model 3. </w:t>
      </w:r>
      <w:r>
        <w:rPr>
          <w:b/>
          <w:bCs/>
        </w:rPr>
        <w:t>Description:</w:t>
      </w:r>
      <w:r>
        <w:t xml:space="preserve"> Pooled coefficient estimates after multiple imputation for Model 3.</w:t>
      </w:r>
    </w:p>
    <w:p w14:paraId="26E17EA2" w14:textId="77777777" w:rsidR="00BA68F9" w:rsidRDefault="00BA68F9" w:rsidP="00BA68F9">
      <w:pPr>
        <w:pStyle w:val="BodyText"/>
        <w:spacing w:after="0" w:line="480" w:lineRule="auto"/>
      </w:pPr>
      <w:r>
        <w:rPr>
          <w:b/>
          <w:bCs/>
        </w:rPr>
        <w:t>Online Resource 6.</w:t>
      </w:r>
      <w:r>
        <w:t xml:space="preserve"> </w:t>
      </w:r>
      <w:r>
        <w:rPr>
          <w:rStyle w:val="VerbatimChar"/>
          <w:rFonts w:ascii="Times New Roman" w:hAnsi="Times New Roman"/>
          <w:sz w:val="20"/>
        </w:rPr>
        <w:t>ESM_6.csv</w:t>
      </w:r>
      <w:r>
        <w:t xml:space="preserve"> (csv). </w:t>
      </w:r>
      <w:r>
        <w:rPr>
          <w:b/>
          <w:bCs/>
        </w:rPr>
        <w:t>Title:</w:t>
      </w:r>
      <w:r>
        <w:t xml:space="preserve"> Model diagnostics and proportional-hazards assessment. </w:t>
      </w:r>
      <w:r>
        <w:rPr>
          <w:b/>
          <w:bCs/>
        </w:rPr>
        <w:t>Description:</w:t>
      </w:r>
      <w:r>
        <w:t xml:space="preserve"> Sample size, event count, concordance statistics, and Schoenfeld residual tests for Models 1-3.</w:t>
      </w:r>
    </w:p>
    <w:p w14:paraId="33C3E3B2" w14:textId="77777777" w:rsidR="00BA68F9" w:rsidRDefault="00BA68F9" w:rsidP="00BA68F9">
      <w:pPr>
        <w:pStyle w:val="BodyText"/>
        <w:spacing w:after="0" w:line="480" w:lineRule="auto"/>
      </w:pPr>
      <w:r>
        <w:rPr>
          <w:b/>
          <w:bCs/>
        </w:rPr>
        <w:t>Online Resource 7.</w:t>
      </w:r>
      <w:r>
        <w:t xml:space="preserve"> </w:t>
      </w:r>
      <w:r>
        <w:rPr>
          <w:rStyle w:val="VerbatimChar"/>
          <w:rFonts w:ascii="Times New Roman" w:hAnsi="Times New Roman"/>
          <w:sz w:val="20"/>
        </w:rPr>
        <w:t>ESM_7.tiff</w:t>
      </w:r>
      <w:r>
        <w:t xml:space="preserve"> (tiff). </w:t>
      </w:r>
      <w:r>
        <w:rPr>
          <w:b/>
          <w:bCs/>
        </w:rPr>
        <w:t>Title:</w:t>
      </w:r>
      <w:r>
        <w:t xml:space="preserve"> Forest plot for Model 2. </w:t>
      </w:r>
      <w:r>
        <w:rPr>
          <w:b/>
          <w:bCs/>
        </w:rPr>
        <w:t>Description:</w:t>
      </w:r>
      <w:r>
        <w:t xml:space="preserve"> Adjusted hazard ratios for the GLR trajectory groups in Model 2.</w:t>
      </w:r>
    </w:p>
    <w:p w14:paraId="7D02EB24" w14:textId="77777777" w:rsidR="00BA68F9" w:rsidRDefault="00BA68F9" w:rsidP="00BA68F9">
      <w:pPr>
        <w:pStyle w:val="BodyText"/>
        <w:spacing w:after="0" w:line="480" w:lineRule="auto"/>
      </w:pPr>
      <w:r>
        <w:rPr>
          <w:b/>
          <w:bCs/>
        </w:rPr>
        <w:t>Online Resource 8.</w:t>
      </w:r>
      <w:r>
        <w:t xml:space="preserve"> </w:t>
      </w:r>
      <w:r>
        <w:rPr>
          <w:rStyle w:val="VerbatimChar"/>
          <w:rFonts w:ascii="Times New Roman" w:hAnsi="Times New Roman"/>
          <w:sz w:val="20"/>
        </w:rPr>
        <w:t>ESM_8.tiff</w:t>
      </w:r>
      <w:r>
        <w:t xml:space="preserve"> (tiff). </w:t>
      </w:r>
      <w:r>
        <w:rPr>
          <w:b/>
          <w:bCs/>
        </w:rPr>
        <w:t>Title:</w:t>
      </w:r>
      <w:r>
        <w:t xml:space="preserve"> Forest plot for Model 3. </w:t>
      </w:r>
      <w:r>
        <w:rPr>
          <w:b/>
          <w:bCs/>
        </w:rPr>
        <w:t>Description:</w:t>
      </w:r>
      <w:r>
        <w:t xml:space="preserve"> Adjusted hazard ratios for the GLR trajectory groups in Model 3.</w:t>
      </w:r>
    </w:p>
    <w:p w14:paraId="7403CF38" w14:textId="77777777" w:rsidR="00BA68F9" w:rsidRDefault="00BA68F9" w:rsidP="00BA68F9">
      <w:pPr>
        <w:pStyle w:val="BodyText"/>
        <w:spacing w:after="0" w:line="480" w:lineRule="auto"/>
      </w:pPr>
      <w:r>
        <w:t>The main tables are provided as separate editable Word files. Main figures are provided as separate TIFF files.</w:t>
      </w:r>
    </w:p>
    <w:bookmarkEnd w:id="0"/>
    <w:p w14:paraId="51317D05" w14:textId="77777777" w:rsidR="00BA68F9" w:rsidRPr="00450EB8" w:rsidRDefault="00BA68F9" w:rsidP="00BA68F9">
      <w:pPr>
        <w:pStyle w:val="Compact"/>
        <w:spacing w:after="0" w:line="480" w:lineRule="auto"/>
        <w:ind w:left="360"/>
      </w:pPr>
    </w:p>
    <w:p w14:paraId="72961562" w14:textId="77777777" w:rsidR="00E023F9" w:rsidRDefault="00E023F9"/>
    <w:sectPr w:rsidR="00E023F9" w:rsidSect="00BA68F9">
      <w:footnotePr>
        <w:numRestart w:val="eachSect"/>
      </w:footnotePr>
      <w:pgSz w:w="15840" w:h="12240" w:orient="landscape"/>
      <w:pgMar w:top="1800" w:right="1440" w:bottom="1800" w:left="144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8F9"/>
    <w:rsid w:val="000C4033"/>
    <w:rsid w:val="00173ED8"/>
    <w:rsid w:val="004B42CB"/>
    <w:rsid w:val="005A2DD1"/>
    <w:rsid w:val="005F2B46"/>
    <w:rsid w:val="006E1731"/>
    <w:rsid w:val="00866D74"/>
    <w:rsid w:val="00882A73"/>
    <w:rsid w:val="0095305D"/>
    <w:rsid w:val="00B10170"/>
    <w:rsid w:val="00B260B7"/>
    <w:rsid w:val="00B85331"/>
    <w:rsid w:val="00BA68F9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DB25D"/>
  <w15:chartTrackingRefBased/>
  <w15:docId w15:val="{D7F59AFA-A501-4203-8D25-209CA91D8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6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6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68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6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68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68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68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68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68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8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A68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68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68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68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68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68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68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68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68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6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6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6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6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68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68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68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6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68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68F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BA68F9"/>
    <w:pPr>
      <w:spacing w:before="180" w:after="180" w:line="240" w:lineRule="auto"/>
    </w:pPr>
    <w:rPr>
      <w:rFonts w:ascii="Times New Roman" w:eastAsia="Times New Roman" w:hAnsi="Times New Roman"/>
      <w:color w:val="000000"/>
      <w:kern w:val="0"/>
      <w:sz w:val="20"/>
      <w:lang w:val="en-US" w:eastAsia="zh-CN"/>
      <w14:ligatures w14:val="none"/>
    </w:rPr>
  </w:style>
  <w:style w:type="character" w:customStyle="1" w:styleId="BodyTextChar">
    <w:name w:val="Body Text Char"/>
    <w:basedOn w:val="DefaultParagraphFont"/>
    <w:link w:val="BodyText"/>
    <w:rsid w:val="00BA68F9"/>
    <w:rPr>
      <w:rFonts w:ascii="Times New Roman" w:eastAsia="Times New Roman" w:hAnsi="Times New Roman"/>
      <w:color w:val="000000"/>
      <w:kern w:val="0"/>
      <w:sz w:val="20"/>
      <w:lang w:val="en-US" w:eastAsia="zh-CN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BA68F9"/>
  </w:style>
  <w:style w:type="paragraph" w:customStyle="1" w:styleId="Compact">
    <w:name w:val="Compact"/>
    <w:basedOn w:val="BodyText"/>
    <w:qFormat/>
    <w:rsid w:val="00BA68F9"/>
    <w:pPr>
      <w:spacing w:before="36" w:after="36"/>
    </w:pPr>
  </w:style>
  <w:style w:type="character" w:customStyle="1" w:styleId="VerbatimChar">
    <w:name w:val="Verbatim Char"/>
    <w:basedOn w:val="DefaultParagraphFont"/>
    <w:link w:val="SourceCode"/>
    <w:rsid w:val="00BA68F9"/>
    <w:rPr>
      <w:rFonts w:ascii="Consolas" w:hAnsi="Consolas"/>
      <w:sz w:val="22"/>
    </w:rPr>
  </w:style>
  <w:style w:type="paragraph" w:customStyle="1" w:styleId="SourceCode">
    <w:name w:val="Source Code"/>
    <w:basedOn w:val="Normal"/>
    <w:link w:val="VerbatimChar"/>
    <w:rsid w:val="00BA68F9"/>
    <w:pPr>
      <w:wordWrap w:val="0"/>
      <w:spacing w:after="200" w:line="240" w:lineRule="auto"/>
    </w:pPr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2026-06-16T21:50:00Z</dcterms:created>
  <dcterms:modified xsi:type="dcterms:W3CDTF">2026-06-16T21:51:00Z</dcterms:modified>
</cp:coreProperties>
</file>