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6.png" ContentType="image/png"/>
  <Override PartName="/word/media/rId30.png" ContentType="image/png"/>
  <Override PartName="/word/media/rId34.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2" w:name="X99ab3348b7efe9d84dafa5c85a24876dea19994"/>
    <w:p>
      <w:pPr>
        <w:pStyle w:val="Heading1"/>
      </w:pPr>
      <w:r>
        <w:t xml:space="preserve">Multimedia Appendix 1 — Supplementary Methods, Tables, and Figures</w:t>
      </w:r>
    </w:p>
    <w:bookmarkStart w:id="9" w:name="a.-tripodai-checklist"/>
    <w:p>
      <w:pPr>
        <w:pStyle w:val="Heading2"/>
      </w:pPr>
      <w:r>
        <w:t xml:space="preserve">A. TRIPOD+AI checklist</w:t>
      </w:r>
    </w:p>
    <w:p>
      <w:pPr>
        <w:pStyle w:val="FirstParagraph"/>
      </w:pPr>
      <w:r>
        <w:t xml:space="preserve">Following Collins et al. [2]. The TRIPOD+AI items below map each reporting requirement to the corresponding location in the main manuscript.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Item</w:t>
            </w:r>
          </w:p>
        </w:tc>
        <w:tc>
          <w:tcPr/>
          <w:p>
            <w:pPr>
              <w:pStyle w:val="Compact"/>
            </w:pPr>
            <w:r>
              <w:t xml:space="preserve">Topic</w:t>
            </w:r>
          </w:p>
        </w:tc>
        <w:tc>
          <w:tcPr/>
          <w:p>
            <w:pPr>
              <w:pStyle w:val="Compact"/>
            </w:pPr>
            <w:r>
              <w:t xml:space="preserve">Reporting location</w:t>
            </w:r>
          </w:p>
        </w:tc>
      </w:tr>
      <w:tr>
        <w:tc>
          <w:tcPr/>
          <w:p>
            <w:pPr>
              <w:pStyle w:val="Compact"/>
            </w:pPr>
            <w:r>
              <w:t xml:space="preserve">1a, 1b</w:t>
            </w:r>
          </w:p>
        </w:tc>
        <w:tc>
          <w:tcPr/>
          <w:p>
            <w:pPr>
              <w:pStyle w:val="Compact"/>
            </w:pPr>
            <w:r>
              <w:t xml:space="preserve">Title — identify as AI prediction model study; specify development/validation</w:t>
            </w:r>
          </w:p>
        </w:tc>
        <w:tc>
          <w:tcPr/>
          <w:p>
            <w:pPr>
              <w:pStyle w:val="Compact"/>
            </w:pPr>
            <w:r>
              <w:t xml:space="preserve">Main text, Title</w:t>
            </w:r>
          </w:p>
        </w:tc>
      </w:tr>
      <w:tr>
        <w:tc>
          <w:tcPr/>
          <w:p>
            <w:pPr>
              <w:pStyle w:val="Compact"/>
            </w:pPr>
            <w:r>
              <w:t xml:space="preserve">2</w:t>
            </w:r>
          </w:p>
        </w:tc>
        <w:tc>
          <w:tcPr/>
          <w:p>
            <w:pPr>
              <w:pStyle w:val="Compact"/>
            </w:pPr>
            <w:r>
              <w:t xml:space="preserve">Structured abstract — relevant information; key results</w:t>
            </w:r>
          </w:p>
        </w:tc>
        <w:tc>
          <w:tcPr/>
          <w:p>
            <w:pPr>
              <w:pStyle w:val="Compact"/>
            </w:pPr>
            <w:r>
              <w:t xml:space="preserve">Main text, Abstract</w:t>
            </w:r>
          </w:p>
        </w:tc>
      </w:tr>
      <w:tr>
        <w:tc>
          <w:tcPr/>
          <w:p>
            <w:pPr>
              <w:pStyle w:val="Compact"/>
            </w:pPr>
            <w:r>
              <w:t xml:space="preserve">3a, 3b</w:t>
            </w:r>
          </w:p>
        </w:tc>
        <w:tc>
          <w:tcPr/>
          <w:p>
            <w:pPr>
              <w:pStyle w:val="Compact"/>
            </w:pPr>
            <w:r>
              <w:t xml:space="preserve">Background — clinical context, rationale; objectives</w:t>
            </w:r>
          </w:p>
        </w:tc>
        <w:tc>
          <w:tcPr/>
          <w:p>
            <w:pPr>
              <w:pStyle w:val="Compact"/>
            </w:pPr>
            <w:r>
              <w:t xml:space="preserve">Main text, Introduction</w:t>
            </w:r>
          </w:p>
        </w:tc>
      </w:tr>
      <w:tr>
        <w:tc>
          <w:tcPr/>
          <w:p>
            <w:pPr>
              <w:pStyle w:val="Compact"/>
            </w:pPr>
            <w:r>
              <w:t xml:space="preserve">4</w:t>
            </w:r>
          </w:p>
        </w:tc>
        <w:tc>
          <w:tcPr/>
          <w:p>
            <w:pPr>
              <w:pStyle w:val="Compact"/>
            </w:pPr>
            <w:r>
              <w:t xml:space="preserve">Source of data — type (retrospective); key dates</w:t>
            </w:r>
          </w:p>
        </w:tc>
        <w:tc>
          <w:tcPr/>
          <w:p>
            <w:pPr>
              <w:pStyle w:val="Compact"/>
            </w:pPr>
            <w:r>
              <w:t xml:space="preserve">Main text, Methods §</w:t>
            </w:r>
            <w:r>
              <w:t xml:space="preserve">“Study design and population”</w:t>
            </w:r>
          </w:p>
        </w:tc>
      </w:tr>
      <w:tr>
        <w:tc>
          <w:tcPr/>
          <w:p>
            <w:pPr>
              <w:pStyle w:val="Compact"/>
            </w:pPr>
            <w:r>
              <w:t xml:space="preserve">5a, 5b, 5c</w:t>
            </w:r>
          </w:p>
        </w:tc>
        <w:tc>
          <w:tcPr/>
          <w:p>
            <w:pPr>
              <w:pStyle w:val="Compact"/>
            </w:pPr>
            <w:r>
              <w:t xml:space="preserve">Participants — setting/eligibility; outcome definition; predictor definition</w:t>
            </w:r>
          </w:p>
        </w:tc>
        <w:tc>
          <w:tcPr/>
          <w:p>
            <w:pPr>
              <w:pStyle w:val="Compact"/>
            </w:pPr>
            <w:r>
              <w:t xml:space="preserve">Main text, Methods §</w:t>
            </w:r>
            <w:r>
              <w:t xml:space="preserve">“Study design and population”</w:t>
            </w:r>
            <w:r>
              <w:t xml:space="preserve">, §</w:t>
            </w:r>
            <w:r>
              <w:t xml:space="preserve">“Outcomes”</w:t>
            </w:r>
          </w:p>
        </w:tc>
      </w:tr>
      <w:tr>
        <w:tc>
          <w:tcPr/>
          <w:p>
            <w:pPr>
              <w:pStyle w:val="Compact"/>
            </w:pPr>
            <w:r>
              <w:t xml:space="preserve">6a, 6b</w:t>
            </w:r>
          </w:p>
        </w:tc>
        <w:tc>
          <w:tcPr/>
          <w:p>
            <w:pPr>
              <w:pStyle w:val="Compact"/>
            </w:pPr>
            <w:r>
              <w:t xml:space="preserve">Outcome — definition and assessment; censoring/missing</w:t>
            </w:r>
          </w:p>
        </w:tc>
        <w:tc>
          <w:tcPr/>
          <w:p>
            <w:pPr>
              <w:pStyle w:val="Compact"/>
            </w:pPr>
            <w:r>
              <w:t xml:space="preserve">Main text, Methods §</w:t>
            </w:r>
            <w:r>
              <w:t xml:space="preserve">“Outcomes”</w:t>
            </w:r>
          </w:p>
        </w:tc>
      </w:tr>
      <w:tr>
        <w:tc>
          <w:tcPr/>
          <w:p>
            <w:pPr>
              <w:pStyle w:val="Compact"/>
            </w:pPr>
            <w:r>
              <w:t xml:space="preserve">7a, 7b</w:t>
            </w:r>
          </w:p>
        </w:tc>
        <w:tc>
          <w:tcPr/>
          <w:p>
            <w:pPr>
              <w:pStyle w:val="Compact"/>
            </w:pPr>
            <w:r>
              <w:t xml:space="preserve">Predictors — definition; coding</w:t>
            </w:r>
          </w:p>
        </w:tc>
        <w:tc>
          <w:tcPr/>
          <w:p>
            <w:pPr>
              <w:pStyle w:val="Compact"/>
            </w:pPr>
            <w:r>
              <w:t xml:space="preserve">Main text, Methods §</w:t>
            </w:r>
            <w:r>
              <w:t xml:space="preserve">“Architectures evaluated”</w:t>
            </w:r>
          </w:p>
        </w:tc>
      </w:tr>
      <w:tr>
        <w:tc>
          <w:tcPr/>
          <w:p>
            <w:pPr>
              <w:pStyle w:val="Compact"/>
            </w:pPr>
            <w:r>
              <w:t xml:space="preserve">8</w:t>
            </w:r>
          </w:p>
        </w:tc>
        <w:tc>
          <w:tcPr/>
          <w:p>
            <w:pPr>
              <w:pStyle w:val="Compact"/>
            </w:pPr>
            <w:r>
              <w:t xml:space="preserve">Sample size — calculation and rationale</w:t>
            </w:r>
          </w:p>
        </w:tc>
        <w:tc>
          <w:tcPr/>
          <w:p>
            <w:pPr>
              <w:pStyle w:val="Compact"/>
            </w:pPr>
            <w:r>
              <w:t xml:space="preserve">Main text, Methods §</w:t>
            </w:r>
            <w:r>
              <w:t xml:space="preserve">“Study design and population”</w:t>
            </w:r>
          </w:p>
        </w:tc>
      </w:tr>
      <w:tr>
        <w:tc>
          <w:tcPr/>
          <w:p>
            <w:pPr>
              <w:pStyle w:val="Compact"/>
            </w:pPr>
            <w:r>
              <w:t xml:space="preserve">9</w:t>
            </w:r>
          </w:p>
        </w:tc>
        <w:tc>
          <w:tcPr/>
          <w:p>
            <w:pPr>
              <w:pStyle w:val="Compact"/>
            </w:pPr>
            <w:r>
              <w:t xml:space="preserve">Missing data — handling</w:t>
            </w:r>
          </w:p>
        </w:tc>
        <w:tc>
          <w:tcPr/>
          <w:p>
            <w:pPr>
              <w:pStyle w:val="Compact"/>
            </w:pPr>
            <w:r>
              <w:t xml:space="preserve">Main text, Methods §</w:t>
            </w:r>
            <w:r>
              <w:t xml:space="preserve">“Outcomes”</w:t>
            </w:r>
            <w:r>
              <w:t xml:space="preserve">; Appendix §C.4</w:t>
            </w:r>
          </w:p>
        </w:tc>
      </w:tr>
      <w:tr>
        <w:tc>
          <w:tcPr/>
          <w:p>
            <w:pPr>
              <w:pStyle w:val="Compact"/>
            </w:pPr>
            <w:r>
              <w:t xml:space="preserve">10a, 10b, 10c, 10d</w:t>
            </w:r>
          </w:p>
        </w:tc>
        <w:tc>
          <w:tcPr/>
          <w:p>
            <w:pPr>
              <w:pStyle w:val="Compact"/>
            </w:pPr>
            <w:r>
              <w:t xml:space="preserve">Model development — algorithm, hyperparameter selection, model specification, training/calibration</w:t>
            </w:r>
          </w:p>
        </w:tc>
        <w:tc>
          <w:tcPr/>
          <w:p>
            <w:pPr>
              <w:pStyle w:val="Compact"/>
            </w:pPr>
            <w:r>
              <w:t xml:space="preserve">Main text, Methods §</w:t>
            </w:r>
            <w:r>
              <w:t xml:space="preserve">“Architectures evaluated”</w:t>
            </w:r>
            <w:r>
              <w:t xml:space="preserve">; Appendix §C</w:t>
            </w:r>
          </w:p>
        </w:tc>
      </w:tr>
      <w:tr>
        <w:tc>
          <w:tcPr/>
          <w:p>
            <w:pPr>
              <w:pStyle w:val="Compact"/>
            </w:pPr>
            <w:r>
              <w:t xml:space="preserve">10e</w:t>
            </w:r>
          </w:p>
        </w:tc>
        <w:tc>
          <w:tcPr/>
          <w:p>
            <w:pPr>
              <w:pStyle w:val="Compact"/>
            </w:pPr>
            <w:r>
              <w:t xml:space="preserve">Software and computing environment</w:t>
            </w:r>
          </w:p>
        </w:tc>
        <w:tc>
          <w:tcPr/>
          <w:p>
            <w:pPr>
              <w:pStyle w:val="Compact"/>
            </w:pPr>
            <w:r>
              <w:t xml:space="preserve">Code repository; Methods §</w:t>
            </w:r>
            <w:r>
              <w:t xml:space="preserve">“Reporting framework and reproducibility”</w:t>
            </w:r>
          </w:p>
        </w:tc>
      </w:tr>
      <w:tr>
        <w:tc>
          <w:tcPr/>
          <w:p>
            <w:pPr>
              <w:pStyle w:val="Compact"/>
            </w:pPr>
            <w:r>
              <w:t xml:space="preserve">11</w:t>
            </w:r>
          </w:p>
        </w:tc>
        <w:tc>
          <w:tcPr/>
          <w:p>
            <w:pPr>
              <w:pStyle w:val="Compact"/>
            </w:pPr>
            <w:r>
              <w:t xml:space="preserve">Risk groups — handling, transparency</w:t>
            </w:r>
          </w:p>
        </w:tc>
        <w:tc>
          <w:tcPr/>
          <w:p>
            <w:pPr>
              <w:pStyle w:val="Compact"/>
            </w:pPr>
            <w:r>
              <w:t xml:space="preserve">Main text, Results §</w:t>
            </w:r>
            <w:r>
              <w:t xml:space="preserve">“Equity-stratified analysis”</w:t>
            </w:r>
          </w:p>
        </w:tc>
      </w:tr>
      <w:tr>
        <w:tc>
          <w:tcPr/>
          <w:p>
            <w:pPr>
              <w:pStyle w:val="Compact"/>
            </w:pPr>
            <w:r>
              <w:t xml:space="preserve">12</w:t>
            </w:r>
          </w:p>
        </w:tc>
        <w:tc>
          <w:tcPr/>
          <w:p>
            <w:pPr>
              <w:pStyle w:val="Compact"/>
            </w:pPr>
            <w:r>
              <w:t xml:space="preserve">Model evaluation — performance measures; calibration; uncertainty</w:t>
            </w:r>
          </w:p>
        </w:tc>
        <w:tc>
          <w:tcPr/>
          <w:p>
            <w:pPr>
              <w:pStyle w:val="Compact"/>
            </w:pPr>
            <w:r>
              <w:t xml:space="preserve">Main text, Methods §</w:t>
            </w:r>
            <w:r>
              <w:t xml:space="preserve">“Statistical analysis”</w:t>
            </w:r>
            <w:r>
              <w:t xml:space="preserve">; Results §</w:t>
            </w:r>
            <w:r>
              <w:t xml:space="preserve">“Hazard detection performance”</w:t>
            </w:r>
            <w:r>
              <w:t xml:space="preserve">, §</w:t>
            </w:r>
            <w:r>
              <w:t xml:space="preserve">“Operating-point analysis”</w:t>
            </w:r>
          </w:p>
        </w:tc>
      </w:tr>
      <w:tr>
        <w:tc>
          <w:tcPr/>
          <w:p>
            <w:pPr>
              <w:pStyle w:val="Compact"/>
            </w:pPr>
            <w:r>
              <w:t xml:space="preserve">13a, 13b, 13c</w:t>
            </w:r>
          </w:p>
        </w:tc>
        <w:tc>
          <w:tcPr/>
          <w:p>
            <w:pPr>
              <w:pStyle w:val="Compact"/>
            </w:pPr>
            <w:r>
              <w:t xml:space="preserve">Participants — descriptive statistics; outcome distribution; missing</w:t>
            </w:r>
          </w:p>
        </w:tc>
        <w:tc>
          <w:tcPr/>
          <w:p>
            <w:pPr>
              <w:pStyle w:val="Compact"/>
            </w:pPr>
            <w:r>
              <w:t xml:space="preserve">Main text, Results §</w:t>
            </w:r>
            <w:r>
              <w:t xml:space="preserve">“Population characteristics”</w:t>
            </w:r>
            <w:r>
              <w:t xml:space="preserve">; Table 1</w:t>
            </w:r>
          </w:p>
        </w:tc>
      </w:tr>
      <w:tr>
        <w:tc>
          <w:tcPr/>
          <w:p>
            <w:pPr>
              <w:pStyle w:val="Compact"/>
            </w:pPr>
            <w:r>
              <w:t xml:space="preserve">14a, 14b</w:t>
            </w:r>
          </w:p>
        </w:tc>
        <w:tc>
          <w:tcPr/>
          <w:p>
            <w:pPr>
              <w:pStyle w:val="Compact"/>
            </w:pPr>
            <w:r>
              <w:t xml:space="preserve">Model development — final model; performance</w:t>
            </w:r>
          </w:p>
        </w:tc>
        <w:tc>
          <w:tcPr/>
          <w:p>
            <w:pPr>
              <w:pStyle w:val="Compact"/>
            </w:pPr>
            <w:r>
              <w:t xml:space="preserve">Main text, Results §</w:t>
            </w:r>
            <w:r>
              <w:t xml:space="preserve">“Hazard detection performance”</w:t>
            </w:r>
            <w:r>
              <w:t xml:space="preserve">; Tables 2-3</w:t>
            </w:r>
          </w:p>
        </w:tc>
      </w:tr>
      <w:tr>
        <w:tc>
          <w:tcPr/>
          <w:p>
            <w:pPr>
              <w:pStyle w:val="Compact"/>
            </w:pPr>
            <w:r>
              <w:t xml:space="preserve">15</w:t>
            </w:r>
          </w:p>
        </w:tc>
        <w:tc>
          <w:tcPr/>
          <w:p>
            <w:pPr>
              <w:pStyle w:val="Compact"/>
            </w:pPr>
            <w:r>
              <w:t xml:space="preserve">Model performance — measures with uncertainty</w:t>
            </w:r>
          </w:p>
        </w:tc>
        <w:tc>
          <w:tcPr/>
          <w:p>
            <w:pPr>
              <w:pStyle w:val="Compact"/>
            </w:pPr>
            <w:r>
              <w:t xml:space="preserve">Main text, Tables 2-3; Appendix Tables S1-S2</w:t>
            </w:r>
          </w:p>
        </w:tc>
      </w:tr>
      <w:tr>
        <w:tc>
          <w:tcPr/>
          <w:p>
            <w:pPr>
              <w:pStyle w:val="Compact"/>
            </w:pPr>
            <w:r>
              <w:t xml:space="preserve">16</w:t>
            </w:r>
          </w:p>
        </w:tc>
        <w:tc>
          <w:tcPr/>
          <w:p>
            <w:pPr>
              <w:pStyle w:val="Compact"/>
            </w:pPr>
            <w:r>
              <w:t xml:space="preserve">Model updating</w:t>
            </w:r>
          </w:p>
        </w:tc>
        <w:tc>
          <w:tcPr/>
          <w:p>
            <w:pPr>
              <w:pStyle w:val="Compact"/>
            </w:pPr>
            <w:r>
              <w:t xml:space="preserve">Not applicable to this evaluation</w:t>
            </w:r>
          </w:p>
        </w:tc>
      </w:tr>
      <w:tr>
        <w:tc>
          <w:tcPr/>
          <w:p>
            <w:pPr>
              <w:pStyle w:val="Compact"/>
            </w:pPr>
            <w:r>
              <w:t xml:space="preserve">17</w:t>
            </w:r>
          </w:p>
        </w:tc>
        <w:tc>
          <w:tcPr/>
          <w:p>
            <w:pPr>
              <w:pStyle w:val="Compact"/>
            </w:pPr>
            <w:r>
              <w:t xml:space="preserve">Interpretation — performance in context</w:t>
            </w:r>
          </w:p>
        </w:tc>
        <w:tc>
          <w:tcPr/>
          <w:p>
            <w:pPr>
              <w:pStyle w:val="Compact"/>
            </w:pPr>
            <w:r>
              <w:t xml:space="preserve">Main text, Discussion §</w:t>
            </w:r>
            <w:r>
              <w:t xml:space="preserve">“Principal findings”</w:t>
            </w:r>
            <w:r>
              <w:t xml:space="preserve">, §</w:t>
            </w:r>
            <w:r>
              <w:t xml:space="preserve">“Comparison with prior work”</w:t>
            </w:r>
          </w:p>
        </w:tc>
      </w:tr>
      <w:tr>
        <w:tc>
          <w:tcPr/>
          <w:p>
            <w:pPr>
              <w:pStyle w:val="Compact"/>
            </w:pPr>
            <w:r>
              <w:t xml:space="preserve">18</w:t>
            </w:r>
          </w:p>
        </w:tc>
        <w:tc>
          <w:tcPr/>
          <w:p>
            <w:pPr>
              <w:pStyle w:val="Compact"/>
            </w:pPr>
            <w:r>
              <w:t xml:space="preserve">Limitations</w:t>
            </w:r>
          </w:p>
        </w:tc>
        <w:tc>
          <w:tcPr/>
          <w:p>
            <w:pPr>
              <w:pStyle w:val="Compact"/>
            </w:pPr>
            <w:r>
              <w:t xml:space="preserve">Main text, Discussion §</w:t>
            </w:r>
            <w:r>
              <w:t xml:space="preserve">“Strengths and limitations”</w:t>
            </w:r>
          </w:p>
        </w:tc>
      </w:tr>
      <w:tr>
        <w:tc>
          <w:tcPr/>
          <w:p>
            <w:pPr>
              <w:pStyle w:val="Compact"/>
            </w:pPr>
            <w:r>
              <w:t xml:space="preserve">19</w:t>
            </w:r>
          </w:p>
        </w:tc>
        <w:tc>
          <w:tcPr/>
          <w:p>
            <w:pPr>
              <w:pStyle w:val="Compact"/>
            </w:pPr>
            <w:r>
              <w:t xml:space="preserve">Generalizability — applicability to other settings</w:t>
            </w:r>
          </w:p>
        </w:tc>
        <w:tc>
          <w:tcPr/>
          <w:p>
            <w:pPr>
              <w:pStyle w:val="Compact"/>
            </w:pPr>
            <w:r>
              <w:t xml:space="preserve">Main text, Discussion §</w:t>
            </w:r>
            <w:r>
              <w:t xml:space="preserve">“Strengths and limitations”</w:t>
            </w:r>
            <w:r>
              <w:t xml:space="preserve">, §</w:t>
            </w:r>
            <w:r>
              <w:t xml:space="preserve">“Future work”</w:t>
            </w:r>
          </w:p>
        </w:tc>
      </w:tr>
      <w:tr>
        <w:tc>
          <w:tcPr/>
          <w:p>
            <w:pPr>
              <w:pStyle w:val="Compact"/>
            </w:pPr>
            <w:r>
              <w:t xml:space="preserve">20</w:t>
            </w:r>
          </w:p>
        </w:tc>
        <w:tc>
          <w:tcPr/>
          <w:p>
            <w:pPr>
              <w:pStyle w:val="Compact"/>
            </w:pPr>
            <w:r>
              <w:t xml:space="preserve">Supplementary information — protocol, data, code</w:t>
            </w:r>
          </w:p>
        </w:tc>
        <w:tc>
          <w:tcPr/>
          <w:p>
            <w:pPr>
              <w:pStyle w:val="Compact"/>
            </w:pPr>
            <w:r>
              <w:t xml:space="preserve">Code repository; Supplementary File 2 (per-message predictions); Methods §</w:t>
            </w:r>
            <w:r>
              <w:t xml:space="preserve">“Reporting framework and reproducibility”</w:t>
            </w:r>
          </w:p>
        </w:tc>
      </w:tr>
      <w:tr>
        <w:tc>
          <w:tcPr/>
          <w:p>
            <w:pPr>
              <w:pStyle w:val="Compact"/>
            </w:pPr>
            <w:r>
              <w:t xml:space="preserve">21</w:t>
            </w:r>
          </w:p>
        </w:tc>
        <w:tc>
          <w:tcPr/>
          <w:p>
            <w:pPr>
              <w:pStyle w:val="Compact"/>
            </w:pPr>
            <w:r>
              <w:t xml:space="preserve">Funding</w:t>
            </w:r>
          </w:p>
        </w:tc>
        <w:tc>
          <w:tcPr/>
          <w:p>
            <w:pPr>
              <w:pStyle w:val="Compact"/>
            </w:pPr>
            <w:r>
              <w:t xml:space="preserve">Main text, Declarations §</w:t>
            </w:r>
            <w:r>
              <w:t xml:space="preserve">“Funding”</w:t>
            </w:r>
          </w:p>
        </w:tc>
      </w:tr>
      <w:tr>
        <w:tc>
          <w:tcPr/>
          <w:p>
            <w:pPr>
              <w:pStyle w:val="Compact"/>
            </w:pPr>
            <w:r>
              <w:t xml:space="preserve">AI 1-7</w:t>
            </w:r>
          </w:p>
        </w:tc>
        <w:tc>
          <w:tcPr/>
          <w:p>
            <w:pPr>
              <w:pStyle w:val="Compact"/>
            </w:pPr>
            <w:r>
              <w:t xml:space="preserve">AI-specific items — model architecture, fairness, transparency, reproducibility, interpretability</w:t>
            </w:r>
          </w:p>
        </w:tc>
        <w:tc>
          <w:tcPr/>
          <w:p>
            <w:pPr>
              <w:pStyle w:val="Compact"/>
            </w:pPr>
            <w:r>
              <w:t xml:space="preserve">Methods §</w:t>
            </w:r>
            <w:r>
              <w:t xml:space="preserve">“Architectures evaluated”</w:t>
            </w:r>
            <w:r>
              <w:t xml:space="preserve">; Appendix §C; Results §</w:t>
            </w:r>
            <w:r>
              <w:t xml:space="preserve">“Equity-stratified analysis”</w:t>
            </w:r>
            <w:r>
              <w:t xml:space="preserve">; code repository</w:t>
            </w:r>
          </w:p>
        </w:tc>
      </w:tr>
    </w:tbl>
    <w:bookmarkEnd w:id="9"/>
    <w:bookmarkStart w:id="10" w:name="b.-decide-ai-checklist"/>
    <w:p>
      <w:pPr>
        <w:pStyle w:val="Heading2"/>
      </w:pPr>
      <w:r>
        <w:t xml:space="preserve">B. DECIDE-AI checklist</w:t>
      </w:r>
    </w:p>
    <w:p>
      <w:pPr>
        <w:pStyle w:val="FirstParagraph"/>
      </w:pPr>
      <w:r>
        <w:t xml:space="preserve">Following Vasey et al. [3]. The DECIDE-AI items below map each reporting requirement to the corresponding location in the main manuscript.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Item</w:t>
            </w:r>
          </w:p>
        </w:tc>
        <w:tc>
          <w:tcPr/>
          <w:p>
            <w:pPr>
              <w:pStyle w:val="Compact"/>
            </w:pPr>
            <w:r>
              <w:t xml:space="preserve">Topic</w:t>
            </w:r>
          </w:p>
        </w:tc>
        <w:tc>
          <w:tcPr/>
          <w:p>
            <w:pPr>
              <w:pStyle w:val="Compact"/>
            </w:pPr>
            <w:r>
              <w:t xml:space="preserve">Reporting location</w:t>
            </w:r>
          </w:p>
        </w:tc>
      </w:tr>
      <w:tr>
        <w:tc>
          <w:tcPr/>
          <w:p>
            <w:pPr>
              <w:pStyle w:val="Compact"/>
            </w:pPr>
            <w:r>
              <w:t xml:space="preserve">1</w:t>
            </w:r>
          </w:p>
        </w:tc>
        <w:tc>
          <w:tcPr/>
          <w:p>
            <w:pPr>
              <w:pStyle w:val="Compact"/>
            </w:pPr>
            <w:r>
              <w:t xml:space="preserve">Title — identify as early-stage clinical evaluation of AI-driven decision support</w:t>
            </w:r>
          </w:p>
        </w:tc>
        <w:tc>
          <w:tcPr/>
          <w:p>
            <w:pPr>
              <w:pStyle w:val="Compact"/>
            </w:pPr>
            <w:r>
              <w:t xml:space="preserve">Main text, Title</w:t>
            </w:r>
          </w:p>
        </w:tc>
      </w:tr>
      <w:tr>
        <w:tc>
          <w:tcPr/>
          <w:p>
            <w:pPr>
              <w:pStyle w:val="Compact"/>
            </w:pPr>
            <w:r>
              <w:t xml:space="preserve">2</w:t>
            </w:r>
          </w:p>
        </w:tc>
        <w:tc>
          <w:tcPr/>
          <w:p>
            <w:pPr>
              <w:pStyle w:val="Compact"/>
            </w:pPr>
            <w:r>
              <w:t xml:space="preserve">Structured abstract</w:t>
            </w:r>
          </w:p>
        </w:tc>
        <w:tc>
          <w:tcPr/>
          <w:p>
            <w:pPr>
              <w:pStyle w:val="Compact"/>
            </w:pPr>
            <w:r>
              <w:t xml:space="preserve">Main text, Abstract</w:t>
            </w:r>
          </w:p>
        </w:tc>
      </w:tr>
      <w:tr>
        <w:tc>
          <w:tcPr/>
          <w:p>
            <w:pPr>
              <w:pStyle w:val="Compact"/>
            </w:pPr>
            <w:r>
              <w:t xml:space="preserve">3</w:t>
            </w:r>
          </w:p>
        </w:tc>
        <w:tc>
          <w:tcPr/>
          <w:p>
            <w:pPr>
              <w:pStyle w:val="Compact"/>
            </w:pPr>
            <w:r>
              <w:t xml:space="preserve">Rationale — describe scientific background and clinical problem</w:t>
            </w:r>
          </w:p>
        </w:tc>
        <w:tc>
          <w:tcPr/>
          <w:p>
            <w:pPr>
              <w:pStyle w:val="Compact"/>
            </w:pPr>
            <w:r>
              <w:t xml:space="preserve">Main text, Introduction</w:t>
            </w:r>
          </w:p>
        </w:tc>
      </w:tr>
      <w:tr>
        <w:tc>
          <w:tcPr/>
          <w:p>
            <w:pPr>
              <w:pStyle w:val="Compact"/>
            </w:pPr>
            <w:r>
              <w:t xml:space="preserve">4</w:t>
            </w:r>
          </w:p>
        </w:tc>
        <w:tc>
          <w:tcPr/>
          <w:p>
            <w:pPr>
              <w:pStyle w:val="Compact"/>
            </w:pPr>
            <w:r>
              <w:t xml:space="preserve">Objectives — specify the objectives of the early-stage clinical evaluation</w:t>
            </w:r>
          </w:p>
        </w:tc>
        <w:tc>
          <w:tcPr/>
          <w:p>
            <w:pPr>
              <w:pStyle w:val="Compact"/>
            </w:pPr>
            <w:r>
              <w:t xml:space="preserve">Main text, Introduction final paragraph</w:t>
            </w:r>
          </w:p>
        </w:tc>
      </w:tr>
      <w:tr>
        <w:tc>
          <w:tcPr/>
          <w:p>
            <w:pPr>
              <w:pStyle w:val="Compact"/>
            </w:pPr>
            <w:r>
              <w:t xml:space="preserve">5</w:t>
            </w:r>
          </w:p>
        </w:tc>
        <w:tc>
          <w:tcPr/>
          <w:p>
            <w:pPr>
              <w:pStyle w:val="Compact"/>
            </w:pPr>
            <w:r>
              <w:t xml:space="preserve">Trial registration or protocol availability</w:t>
            </w:r>
          </w:p>
        </w:tc>
        <w:tc>
          <w:tcPr/>
          <w:p>
            <w:pPr>
              <w:pStyle w:val="Compact"/>
            </w:pPr>
            <w:r>
              <w:t xml:space="preserve">Not applicable (retrospective evaluation)</w:t>
            </w:r>
          </w:p>
        </w:tc>
      </w:tr>
      <w:tr>
        <w:tc>
          <w:tcPr/>
          <w:p>
            <w:pPr>
              <w:pStyle w:val="Compact"/>
            </w:pPr>
            <w:r>
              <w:t xml:space="preserve">6</w:t>
            </w:r>
          </w:p>
        </w:tc>
        <w:tc>
          <w:tcPr/>
          <w:p>
            <w:pPr>
              <w:pStyle w:val="Compact"/>
            </w:pPr>
            <w:r>
              <w:t xml:space="preserve">Study design — describe the study design with reference to design type</w:t>
            </w:r>
          </w:p>
        </w:tc>
        <w:tc>
          <w:tcPr/>
          <w:p>
            <w:pPr>
              <w:pStyle w:val="Compact"/>
            </w:pPr>
            <w:r>
              <w:t xml:space="preserve">Main text, Methods §</w:t>
            </w:r>
            <w:r>
              <w:t xml:space="preserve">“Study design and population”</w:t>
            </w:r>
          </w:p>
        </w:tc>
      </w:tr>
      <w:tr>
        <w:tc>
          <w:tcPr/>
          <w:p>
            <w:pPr>
              <w:pStyle w:val="Compact"/>
            </w:pPr>
            <w:r>
              <w:t xml:space="preserve">7a, 7b</w:t>
            </w:r>
          </w:p>
        </w:tc>
        <w:tc>
          <w:tcPr/>
          <w:p>
            <w:pPr>
              <w:pStyle w:val="Compact"/>
            </w:pPr>
            <w:r>
              <w:t xml:space="preserve">Eligibility criteria, settings, and locations</w:t>
            </w:r>
          </w:p>
        </w:tc>
        <w:tc>
          <w:tcPr/>
          <w:p>
            <w:pPr>
              <w:pStyle w:val="Compact"/>
            </w:pPr>
            <w:r>
              <w:t xml:space="preserve">Main text, Methods §</w:t>
            </w:r>
            <w:r>
              <w:t xml:space="preserve">“Study design and population”</w:t>
            </w:r>
          </w:p>
        </w:tc>
      </w:tr>
      <w:tr>
        <w:tc>
          <w:tcPr/>
          <w:p>
            <w:pPr>
              <w:pStyle w:val="Compact"/>
            </w:pPr>
            <w:r>
              <w:t xml:space="preserve">8a, 8b</w:t>
            </w:r>
          </w:p>
        </w:tc>
        <w:tc>
          <w:tcPr/>
          <w:p>
            <w:pPr>
              <w:pStyle w:val="Compact"/>
            </w:pPr>
            <w:r>
              <w:t xml:space="preserve">Intervention — describe the AI system and decision support intervention</w:t>
            </w:r>
          </w:p>
        </w:tc>
        <w:tc>
          <w:tcPr/>
          <w:p>
            <w:pPr>
              <w:pStyle w:val="Compact"/>
            </w:pPr>
            <w:r>
              <w:t xml:space="preserve">Main text, Methods §</w:t>
            </w:r>
            <w:r>
              <w:t xml:space="preserve">“Architectures evaluated”</w:t>
            </w:r>
            <w:r>
              <w:t xml:space="preserve">; Appendix §C</w:t>
            </w:r>
          </w:p>
        </w:tc>
      </w:tr>
      <w:tr>
        <w:tc>
          <w:tcPr/>
          <w:p>
            <w:pPr>
              <w:pStyle w:val="Compact"/>
            </w:pPr>
            <w:r>
              <w:t xml:space="preserve">9</w:t>
            </w:r>
          </w:p>
        </w:tc>
        <w:tc>
          <w:tcPr/>
          <w:p>
            <w:pPr>
              <w:pStyle w:val="Compact"/>
            </w:pPr>
            <w:r>
              <w:t xml:space="preserve">Standards — describe the development and validation standards used</w:t>
            </w:r>
          </w:p>
        </w:tc>
        <w:tc>
          <w:tcPr/>
          <w:p>
            <w:pPr>
              <w:pStyle w:val="Compact"/>
            </w:pPr>
            <w:r>
              <w:t xml:space="preserve">Main text, Methods §</w:t>
            </w:r>
            <w:r>
              <w:t xml:space="preserve">“Reporting framework and reproducibility”</w:t>
            </w:r>
            <w:r>
              <w:t xml:space="preserve"> </w:t>
            </w:r>
            <w:r>
              <w:t xml:space="preserve">(TRIPOD+AI, DECIDE-AI)</w:t>
            </w:r>
          </w:p>
        </w:tc>
      </w:tr>
      <w:tr>
        <w:tc>
          <w:tcPr/>
          <w:p>
            <w:pPr>
              <w:pStyle w:val="Compact"/>
            </w:pPr>
            <w:r>
              <w:t xml:space="preserve">10a, 10b, 10c</w:t>
            </w:r>
          </w:p>
        </w:tc>
        <w:tc>
          <w:tcPr/>
          <w:p>
            <w:pPr>
              <w:pStyle w:val="Compact"/>
            </w:pPr>
            <w:r>
              <w:t xml:space="preserve">Outcomes — primary, secondary, and safety outcomes</w:t>
            </w:r>
          </w:p>
        </w:tc>
        <w:tc>
          <w:tcPr/>
          <w:p>
            <w:pPr>
              <w:pStyle w:val="Compact"/>
            </w:pPr>
            <w:r>
              <w:t xml:space="preserve">Main text, Methods §</w:t>
            </w:r>
            <w:r>
              <w:t xml:space="preserve">“Outcomes”</w:t>
            </w:r>
          </w:p>
        </w:tc>
      </w:tr>
      <w:tr>
        <w:tc>
          <w:tcPr/>
          <w:p>
            <w:pPr>
              <w:pStyle w:val="Compact"/>
            </w:pPr>
            <w:r>
              <w:t xml:space="preserve">11</w:t>
            </w:r>
          </w:p>
        </w:tc>
        <w:tc>
          <w:tcPr/>
          <w:p>
            <w:pPr>
              <w:pStyle w:val="Compact"/>
            </w:pPr>
            <w:r>
              <w:t xml:space="preserve">Sample size determination</w:t>
            </w:r>
          </w:p>
        </w:tc>
        <w:tc>
          <w:tcPr/>
          <w:p>
            <w:pPr>
              <w:pStyle w:val="Compact"/>
            </w:pPr>
            <w:r>
              <w:t xml:space="preserve">Main text, Methods §</w:t>
            </w:r>
            <w:r>
              <w:t xml:space="preserve">“Study design and population”</w:t>
            </w:r>
          </w:p>
        </w:tc>
      </w:tr>
      <w:tr>
        <w:tc>
          <w:tcPr/>
          <w:p>
            <w:pPr>
              <w:pStyle w:val="Compact"/>
            </w:pPr>
            <w:r>
              <w:t xml:space="preserve">12</w:t>
            </w:r>
          </w:p>
        </w:tc>
        <w:tc>
          <w:tcPr/>
          <w:p>
            <w:pPr>
              <w:pStyle w:val="Compact"/>
            </w:pPr>
            <w:r>
              <w:t xml:space="preserve">Statistical methods</w:t>
            </w:r>
          </w:p>
        </w:tc>
        <w:tc>
          <w:tcPr/>
          <w:p>
            <w:pPr>
              <w:pStyle w:val="Compact"/>
            </w:pPr>
            <w:r>
              <w:t xml:space="preserve">Main text, Methods §</w:t>
            </w:r>
            <w:r>
              <w:t xml:space="preserve">“Statistical analysis”</w:t>
            </w:r>
          </w:p>
        </w:tc>
      </w:tr>
      <w:tr>
        <w:tc>
          <w:tcPr/>
          <w:p>
            <w:pPr>
              <w:pStyle w:val="Compact"/>
            </w:pPr>
            <w:r>
              <w:t xml:space="preserve">13</w:t>
            </w:r>
          </w:p>
        </w:tc>
        <w:tc>
          <w:tcPr/>
          <w:p>
            <w:pPr>
              <w:pStyle w:val="Compact"/>
            </w:pPr>
            <w:r>
              <w:t xml:space="preserve">Data quality assurance — describe quality assurance procedures for inputs/outputs</w:t>
            </w:r>
          </w:p>
        </w:tc>
        <w:tc>
          <w:tcPr/>
          <w:p>
            <w:pPr>
              <w:pStyle w:val="Compact"/>
            </w:pPr>
            <w:r>
              <w:t xml:space="preserve">Main text, Methods §</w:t>
            </w:r>
            <w:r>
              <w:t xml:space="preserve">“Ethics and oversight”</w:t>
            </w:r>
            <w:r>
              <w:t xml:space="preserve">; Appendix §C.5</w:t>
            </w:r>
          </w:p>
        </w:tc>
      </w:tr>
      <w:tr>
        <w:tc>
          <w:tcPr/>
          <w:p>
            <w:pPr>
              <w:pStyle w:val="Compact"/>
            </w:pPr>
            <w:r>
              <w:t xml:space="preserve">14</w:t>
            </w:r>
          </w:p>
        </w:tc>
        <w:tc>
          <w:tcPr/>
          <w:p>
            <w:pPr>
              <w:pStyle w:val="Compact"/>
            </w:pPr>
            <w:r>
              <w:t xml:space="preserve">Implementation — describe the level of integration with the clinical workflow</w:t>
            </w:r>
          </w:p>
        </w:tc>
        <w:tc>
          <w:tcPr/>
          <w:p>
            <w:pPr>
              <w:pStyle w:val="Compact"/>
            </w:pPr>
            <w:r>
              <w:t xml:space="preserve">Not directly evaluated — retrospective design without prospective workflow integration; addressed in Discussion §</w:t>
            </w:r>
            <w:r>
              <w:t xml:space="preserve">“Implications for deployment”</w:t>
            </w:r>
          </w:p>
        </w:tc>
      </w:tr>
      <w:tr>
        <w:tc>
          <w:tcPr/>
          <w:p>
            <w:pPr>
              <w:pStyle w:val="Compact"/>
            </w:pPr>
            <w:r>
              <w:t xml:space="preserve">15</w:t>
            </w:r>
          </w:p>
        </w:tc>
        <w:tc>
          <w:tcPr/>
          <w:p>
            <w:pPr>
              <w:pStyle w:val="Compact"/>
            </w:pPr>
            <w:r>
              <w:t xml:space="preserve">Human-AI interaction — describe interaction modality</w:t>
            </w:r>
          </w:p>
        </w:tc>
        <w:tc>
          <w:tcPr/>
          <w:p>
            <w:pPr>
              <w:pStyle w:val="Compact"/>
            </w:pPr>
            <w:r>
              <w:t xml:space="preserve">Main text, Methods §</w:t>
            </w:r>
            <w:r>
              <w:t xml:space="preserve">“Architectures evaluated”</w:t>
            </w:r>
            <w:r>
              <w:t xml:space="preserve">; Discussion §</w:t>
            </w:r>
            <w:r>
              <w:t xml:space="preserve">“Strengths and limitations”</w:t>
            </w:r>
          </w:p>
        </w:tc>
      </w:tr>
      <w:tr>
        <w:tc>
          <w:tcPr/>
          <w:p>
            <w:pPr>
              <w:pStyle w:val="Compact"/>
            </w:pPr>
            <w:r>
              <w:t xml:space="preserve">16</w:t>
            </w:r>
          </w:p>
        </w:tc>
        <w:tc>
          <w:tcPr/>
          <w:p>
            <w:pPr>
              <w:pStyle w:val="Compact"/>
            </w:pPr>
            <w:r>
              <w:t xml:space="preserve">Modifications during the study — describe any modifications to AI or protocol</w:t>
            </w:r>
          </w:p>
        </w:tc>
        <w:tc>
          <w:tcPr/>
          <w:p>
            <w:pPr>
              <w:pStyle w:val="Compact"/>
            </w:pPr>
            <w:r>
              <w:t xml:space="preserve">None; single canonical pipeline run as pre-registered</w:t>
            </w:r>
          </w:p>
        </w:tc>
      </w:tr>
      <w:tr>
        <w:tc>
          <w:tcPr/>
          <w:p>
            <w:pPr>
              <w:pStyle w:val="Compact"/>
            </w:pPr>
            <w:r>
              <w:t xml:space="preserve">17</w:t>
            </w:r>
          </w:p>
        </w:tc>
        <w:tc>
          <w:tcPr/>
          <w:p>
            <w:pPr>
              <w:pStyle w:val="Compact"/>
            </w:pPr>
            <w:r>
              <w:t xml:space="preserve">Errors and adverse events — describe any errors and how they were handled</w:t>
            </w:r>
          </w:p>
        </w:tc>
        <w:tc>
          <w:tcPr/>
          <w:p>
            <w:pPr>
              <w:pStyle w:val="Compact"/>
            </w:pPr>
            <w:r>
              <w:t xml:space="preserve">Main text, Methods §</w:t>
            </w:r>
            <w:r>
              <w:t xml:space="preserve">“Statistical analysis”</w:t>
            </w:r>
            <w:r>
              <w:t xml:space="preserve">; Results §</w:t>
            </w:r>
            <w:r>
              <w:t xml:space="preserve">“Hazard detection performance”</w:t>
            </w:r>
            <w:r>
              <w:t xml:space="preserve"> </w:t>
            </w:r>
            <w:r>
              <w:t xml:space="preserve">(false-negative reporting)</w:t>
            </w:r>
          </w:p>
        </w:tc>
      </w:tr>
      <w:tr>
        <w:tc>
          <w:tcPr/>
          <w:p>
            <w:pPr>
              <w:pStyle w:val="Compact"/>
            </w:pPr>
            <w:r>
              <w:t xml:space="preserve">18</w:t>
            </w:r>
          </w:p>
        </w:tc>
        <w:tc>
          <w:tcPr/>
          <w:p>
            <w:pPr>
              <w:pStyle w:val="Compact"/>
            </w:pPr>
            <w:r>
              <w:t xml:space="preserve">Participant flow</w:t>
            </w:r>
          </w:p>
        </w:tc>
        <w:tc>
          <w:tcPr/>
          <w:p>
            <w:pPr>
              <w:pStyle w:val="Compact"/>
            </w:pPr>
            <w:r>
              <w:t xml:space="preserve">Main text, Methods §</w:t>
            </w:r>
            <w:r>
              <w:t xml:space="preserve">“Study design and population”</w:t>
            </w:r>
            <w:r>
              <w:t xml:space="preserve">; Results §</w:t>
            </w:r>
            <w:r>
              <w:t xml:space="preserve">“Population characteristics”</w:t>
            </w:r>
          </w:p>
        </w:tc>
      </w:tr>
      <w:tr>
        <w:tc>
          <w:tcPr/>
          <w:p>
            <w:pPr>
              <w:pStyle w:val="Compact"/>
            </w:pPr>
            <w:r>
              <w:t xml:space="preserve">19</w:t>
            </w:r>
          </w:p>
        </w:tc>
        <w:tc>
          <w:tcPr/>
          <w:p>
            <w:pPr>
              <w:pStyle w:val="Compact"/>
            </w:pPr>
            <w:r>
              <w:t xml:space="preserve">Baseline characteristics</w:t>
            </w:r>
          </w:p>
        </w:tc>
        <w:tc>
          <w:tcPr/>
          <w:p>
            <w:pPr>
              <w:pStyle w:val="Compact"/>
            </w:pPr>
            <w:r>
              <w:t xml:space="preserve">Main text, Results §</w:t>
            </w:r>
            <w:r>
              <w:t xml:space="preserve">“Population characteristics”</w:t>
            </w:r>
            <w:r>
              <w:t xml:space="preserve">; Table 1</w:t>
            </w:r>
          </w:p>
        </w:tc>
      </w:tr>
      <w:tr>
        <w:tc>
          <w:tcPr/>
          <w:p>
            <w:pPr>
              <w:pStyle w:val="Compact"/>
            </w:pPr>
            <w:r>
              <w:t xml:space="preserve">20</w:t>
            </w:r>
          </w:p>
        </w:tc>
        <w:tc>
          <w:tcPr/>
          <w:p>
            <w:pPr>
              <w:pStyle w:val="Compact"/>
            </w:pPr>
            <w:r>
              <w:t xml:space="preserve">Outcomes and estimation</w:t>
            </w:r>
          </w:p>
        </w:tc>
        <w:tc>
          <w:tcPr/>
          <w:p>
            <w:pPr>
              <w:pStyle w:val="Compact"/>
            </w:pPr>
            <w:r>
              <w:t xml:space="preserve">Main text, Results §</w:t>
            </w:r>
            <w:r>
              <w:t xml:space="preserve">“Hazard detection performance”</w:t>
            </w:r>
            <w:r>
              <w:t xml:space="preserve">, §</w:t>
            </w:r>
            <w:r>
              <w:t xml:space="preserve">“Operating-point analysis”</w:t>
            </w:r>
            <w:r>
              <w:t xml:space="preserve">, §</w:t>
            </w:r>
            <w:r>
              <w:t xml:space="preserve">“Action recommendation appropriateness”</w:t>
            </w:r>
          </w:p>
        </w:tc>
      </w:tr>
      <w:tr>
        <w:tc>
          <w:tcPr/>
          <w:p>
            <w:pPr>
              <w:pStyle w:val="Compact"/>
            </w:pPr>
            <w:r>
              <w:t xml:space="preserve">21</w:t>
            </w:r>
          </w:p>
        </w:tc>
        <w:tc>
          <w:tcPr/>
          <w:p>
            <w:pPr>
              <w:pStyle w:val="Compact"/>
            </w:pPr>
            <w:r>
              <w:t xml:space="preserve">Subgroup analyses</w:t>
            </w:r>
          </w:p>
        </w:tc>
        <w:tc>
          <w:tcPr/>
          <w:p>
            <w:pPr>
              <w:pStyle w:val="Compact"/>
            </w:pPr>
            <w:r>
              <w:t xml:space="preserve">Main text, Results §</w:t>
            </w:r>
            <w:r>
              <w:t xml:space="preserve">“Equity-stratified analysis”</w:t>
            </w:r>
            <w:r>
              <w:t xml:space="preserve">; Appendix Table S4</w:t>
            </w:r>
          </w:p>
        </w:tc>
      </w:tr>
      <w:tr>
        <w:tc>
          <w:tcPr/>
          <w:p>
            <w:pPr>
              <w:pStyle w:val="Compact"/>
            </w:pPr>
            <w:r>
              <w:t xml:space="preserve">22</w:t>
            </w:r>
          </w:p>
        </w:tc>
        <w:tc>
          <w:tcPr/>
          <w:p>
            <w:pPr>
              <w:pStyle w:val="Compact"/>
            </w:pPr>
            <w:r>
              <w:t xml:space="preserve">Adverse events — report and discuss</w:t>
            </w:r>
          </w:p>
        </w:tc>
        <w:tc>
          <w:tcPr/>
          <w:p>
            <w:pPr>
              <w:pStyle w:val="Compact"/>
            </w:pPr>
            <w:r>
              <w:t xml:space="preserve">Main text, Results §</w:t>
            </w:r>
            <w:r>
              <w:t xml:space="preserve">“Hazard detection performance”</w:t>
            </w:r>
            <w:r>
              <w:t xml:space="preserve"> </w:t>
            </w:r>
            <w:r>
              <w:t xml:space="preserve">(false negatives per 1,000 messages); Discussion §</w:t>
            </w:r>
            <w:r>
              <w:t xml:space="preserve">“Principal findings”</w:t>
            </w:r>
          </w:p>
        </w:tc>
      </w:tr>
      <w:tr>
        <w:tc>
          <w:tcPr/>
          <w:p>
            <w:pPr>
              <w:pStyle w:val="Compact"/>
            </w:pPr>
            <w:r>
              <w:t xml:space="preserve">23a, 23b</w:t>
            </w:r>
          </w:p>
        </w:tc>
        <w:tc>
          <w:tcPr/>
          <w:p>
            <w:pPr>
              <w:pStyle w:val="Compact"/>
            </w:pPr>
            <w:r>
              <w:t xml:space="preserve">Limitations and generalisability</w:t>
            </w:r>
          </w:p>
        </w:tc>
        <w:tc>
          <w:tcPr/>
          <w:p>
            <w:pPr>
              <w:pStyle w:val="Compact"/>
            </w:pPr>
            <w:r>
              <w:t xml:space="preserve">Main text, Discussion §</w:t>
            </w:r>
            <w:r>
              <w:t xml:space="preserve">“Strengths and limitations”</w:t>
            </w:r>
          </w:p>
        </w:tc>
      </w:tr>
      <w:tr>
        <w:tc>
          <w:tcPr/>
          <w:p>
            <w:pPr>
              <w:pStyle w:val="Compact"/>
            </w:pPr>
            <w:r>
              <w:t xml:space="preserve">24</w:t>
            </w:r>
          </w:p>
        </w:tc>
        <w:tc>
          <w:tcPr/>
          <w:p>
            <w:pPr>
              <w:pStyle w:val="Compact"/>
            </w:pPr>
            <w:r>
              <w:t xml:space="preserve">Interpretation — in context of available evidence</w:t>
            </w:r>
          </w:p>
        </w:tc>
        <w:tc>
          <w:tcPr/>
          <w:p>
            <w:pPr>
              <w:pStyle w:val="Compact"/>
            </w:pPr>
            <w:r>
              <w:t xml:space="preserve">Main text, Discussion §</w:t>
            </w:r>
            <w:r>
              <w:t xml:space="preserve">“Comparison with prior work”</w:t>
            </w:r>
          </w:p>
        </w:tc>
      </w:tr>
      <w:tr>
        <w:tc>
          <w:tcPr/>
          <w:p>
            <w:pPr>
              <w:pStyle w:val="Compact"/>
            </w:pPr>
            <w:r>
              <w:t xml:space="preserve">25</w:t>
            </w:r>
          </w:p>
        </w:tc>
        <w:tc>
          <w:tcPr/>
          <w:p>
            <w:pPr>
              <w:pStyle w:val="Compact"/>
            </w:pPr>
            <w:r>
              <w:t xml:space="preserve">Implications — clinical, research, and policy</w:t>
            </w:r>
          </w:p>
        </w:tc>
        <w:tc>
          <w:tcPr/>
          <w:p>
            <w:pPr>
              <w:pStyle w:val="Compact"/>
            </w:pPr>
            <w:r>
              <w:t xml:space="preserve">Main text, Discussion §</w:t>
            </w:r>
            <w:r>
              <w:t xml:space="preserve">“Implications for deployment”</w:t>
            </w:r>
            <w:r>
              <w:t xml:space="preserve">, §</w:t>
            </w:r>
            <w:r>
              <w:t xml:space="preserve">“Future work”</w:t>
            </w:r>
          </w:p>
        </w:tc>
      </w:tr>
      <w:tr>
        <w:tc>
          <w:tcPr/>
          <w:p>
            <w:pPr>
              <w:pStyle w:val="Compact"/>
            </w:pPr>
            <w:r>
              <w:t xml:space="preserve">26</w:t>
            </w:r>
          </w:p>
        </w:tc>
        <w:tc>
          <w:tcPr/>
          <w:p>
            <w:pPr>
              <w:pStyle w:val="Compact"/>
            </w:pPr>
            <w:r>
              <w:t xml:space="preserve">Future research priorities</w:t>
            </w:r>
          </w:p>
        </w:tc>
        <w:tc>
          <w:tcPr/>
          <w:p>
            <w:pPr>
              <w:pStyle w:val="Compact"/>
            </w:pPr>
            <w:r>
              <w:t xml:space="preserve">Main text, Discussion §</w:t>
            </w:r>
            <w:r>
              <w:t xml:space="preserve">“Future work”</w:t>
            </w:r>
          </w:p>
        </w:tc>
      </w:tr>
      <w:tr>
        <w:tc>
          <w:tcPr/>
          <w:p>
            <w:pPr>
              <w:pStyle w:val="Compact"/>
            </w:pPr>
            <w:r>
              <w:t xml:space="preserve">27</w:t>
            </w:r>
          </w:p>
        </w:tc>
        <w:tc>
          <w:tcPr/>
          <w:p>
            <w:pPr>
              <w:pStyle w:val="Compact"/>
            </w:pPr>
            <w:r>
              <w:t xml:space="preserve">Funding, conflicts, and registration</w:t>
            </w:r>
          </w:p>
        </w:tc>
        <w:tc>
          <w:tcPr/>
          <w:p>
            <w:pPr>
              <w:pStyle w:val="Compact"/>
            </w:pPr>
            <w:r>
              <w:t xml:space="preserve">Main text, Declarations</w:t>
            </w:r>
          </w:p>
        </w:tc>
      </w:tr>
    </w:tbl>
    <w:bookmarkEnd w:id="10"/>
    <w:bookmarkStart w:id="18" w:name="c.-architecture-detail"/>
    <w:p>
      <w:pPr>
        <w:pStyle w:val="Heading2"/>
      </w:pPr>
      <w:r>
        <w:t xml:space="preserve">C. Architecture detail</w:t>
      </w:r>
    </w:p>
    <w:bookmarkStart w:id="11" w:name="c.1-action-scale"/>
    <w:p>
      <w:pPr>
        <w:pStyle w:val="Heading3"/>
      </w:pPr>
      <w:r>
        <w:t xml:space="preserve">C.1 Action scale</w:t>
      </w:r>
    </w:p>
    <w:p>
      <w:pPr>
        <w:pStyle w:val="FirstParagraph"/>
      </w:pPr>
      <w:r>
        <w:t xml:space="preserve">The action recommendation endpoint uses an 8-class ordinal scale (Action 1 = least urgent; Action 8 = most urgent). The scale is adapted from the U.S. Emergency Severity Index (ESI) Version 4 five-level acuity assignment [11] but extends to eight levels to capture intermediate primary-care actions (routine appointment, routine refill, urgent care within 24–48 hours) that lie between ESI levels but are operationally distinct in a Medicaid messaging triage workflow.</w:t>
      </w:r>
    </w:p>
    <w:p>
      <w:pPr>
        <w:pStyle w:val="Compact"/>
        <w:numPr>
          <w:ilvl w:val="0"/>
          <w:numId w:val="1001"/>
        </w:numPr>
      </w:pPr>
      <w:r>
        <w:t xml:space="preserve">Self-care guidance / no action needed (least urgent)</w:t>
      </w:r>
    </w:p>
    <w:p>
      <w:pPr>
        <w:pStyle w:val="Compact"/>
        <w:numPr>
          <w:ilvl w:val="0"/>
          <w:numId w:val="1001"/>
        </w:numPr>
      </w:pPr>
      <w:r>
        <w:t xml:space="preserve">Routine appointment within 2 weeks</w:t>
      </w:r>
    </w:p>
    <w:p>
      <w:pPr>
        <w:pStyle w:val="Compact"/>
        <w:numPr>
          <w:ilvl w:val="0"/>
          <w:numId w:val="1001"/>
        </w:numPr>
      </w:pPr>
      <w:r>
        <w:t xml:space="preserve">Routine prescription refill or follow-up scheduling</w:t>
      </w:r>
    </w:p>
    <w:p>
      <w:pPr>
        <w:pStyle w:val="Compact"/>
        <w:numPr>
          <w:ilvl w:val="0"/>
          <w:numId w:val="1001"/>
        </w:numPr>
      </w:pPr>
      <w:r>
        <w:t xml:space="preserve">Urgent care within 24-48 hours</w:t>
      </w:r>
    </w:p>
    <w:p>
      <w:pPr>
        <w:pStyle w:val="Compact"/>
        <w:numPr>
          <w:ilvl w:val="0"/>
          <w:numId w:val="1001"/>
        </w:numPr>
      </w:pPr>
      <w:r>
        <w:t xml:space="preserve">Same-day appointment scheduling</w:t>
      </w:r>
    </w:p>
    <w:p>
      <w:pPr>
        <w:pStyle w:val="Compact"/>
        <w:numPr>
          <w:ilvl w:val="0"/>
          <w:numId w:val="1001"/>
        </w:numPr>
      </w:pPr>
      <w:r>
        <w:t xml:space="preserve">Urgent prescription refill same day</w:t>
      </w:r>
    </w:p>
    <w:p>
      <w:pPr>
        <w:pStyle w:val="Compact"/>
        <w:numPr>
          <w:ilvl w:val="0"/>
          <w:numId w:val="1001"/>
        </w:numPr>
      </w:pPr>
      <w:r>
        <w:t xml:space="preserve">Urgent specialist or physician callback within 1 hour</w:t>
      </w:r>
    </w:p>
    <w:p>
      <w:pPr>
        <w:pStyle w:val="Compact"/>
        <w:numPr>
          <w:ilvl w:val="0"/>
          <w:numId w:val="1001"/>
        </w:numPr>
      </w:pPr>
      <w:r>
        <w:t xml:space="preserve">Emergency services (911/ED immediately, most urgent)</w:t>
      </w:r>
    </w:p>
    <w:p>
      <w:pPr>
        <w:pStyle w:val="FirstParagraph"/>
      </w:pPr>
      <w:r>
        <w:t xml:space="preserve">The implementation encodes labels in 9 classes (indices 0 through 8) for compatibility with the trained classifier output dimensions. Label index 0 does not appear in any ground-truth label or any model prediction in the released test set. Released supplementary prediction CSVs use the 8-action scale (Action 1 through Action 8); the codebase’s</w:t>
      </w:r>
      <w:r>
        <w:t xml:space="preserve"> </w:t>
      </w:r>
      <w:r>
        <w:rPr>
          <w:rStyle w:val="VerbatimChar"/>
        </w:rPr>
        <w:t xml:space="preserve">pred_action_9class</w:t>
      </w:r>
      <w:r>
        <w:t xml:space="preserve"> </w:t>
      </w:r>
      <w:r>
        <w:t xml:space="preserve">column naming reflects the implementation cardinality while the documented scale is 8 actions.</w:t>
      </w:r>
    </w:p>
    <w:bookmarkEnd w:id="11"/>
    <w:bookmarkStart w:id="12" w:name="c.2-conservative-q-learning-controller"/>
    <w:p>
      <w:pPr>
        <w:pStyle w:val="Heading3"/>
      </w:pPr>
      <w:r>
        <w:t xml:space="preserve">C.2 Conservative Q-Learning controller</w:t>
      </w:r>
    </w:p>
    <w:p>
      <w:pPr>
        <w:pStyle w:val="FirstParagraph"/>
      </w:pPr>
      <w:r>
        <w:t xml:space="preserve">The Conservative Q-Learning [1] controller maps the 23-dimensional calibrated hazard probability vector (output of the upstream sentence-BERT [8] + multinomial logistic detector with temperature scaling [9], T=0.215) to one of the 8 escalation actions. Conservative Q-Learning extends offline-batch Q-learning with a value-regularization term that penalizes overestimation of out-of-distribution actions, addressing the bootstrapping-extrapolation failure mode of deep Q-networks [12] when trained on a fixed batch without environment interaction; the architecture is well-suited to the present setting, in which training data are a fixed batch of 570 physician-adjudicated examples and online interaction with the deployment environment is precluded by safety considerations.</w:t>
      </w:r>
    </w:p>
    <w:p>
      <w:pPr>
        <w:pStyle w:val="BodyText"/>
      </w:pPr>
      <w:r>
        <w:t xml:space="preserve">The reward function is asymmetric: +10 for a correct action, -50 for a missed hazard, -2 for a false alarm. The 25-fold penalty on missed hazards relative to false alarms encodes the conventional safety-critical-screening prior that miss-cost dominates false-alarm-cost in clinical triage [11]. The expected reward calculation at inference time selects the action that maximizes expected reward.</w:t>
      </w:r>
    </w:p>
    <w:p>
      <w:pPr>
        <w:pStyle w:val="BodyText"/>
      </w:pPr>
      <w:r>
        <w:t xml:space="preserve">The sensitivity-optimized variant applies a calibrated probability threshold (1.000) chosen on the training/validation split to maximize sensitivity subject to specificity at least 0.70. The reward-optimized variant applies the threshold derived analytically from the reward weights: P(hazard) ≥ 2/62 ≈ 0.032 (the indifference point between the +10 correct-action reward and the −50 missed-hazard penalty, when balanced against the −2 false-alarm penalty).</w:t>
      </w:r>
    </w:p>
    <w:p>
      <w:pPr>
        <w:pStyle w:val="BodyText"/>
      </w:pPr>
      <w:r>
        <w:t xml:space="preserve">Because the reward-optimized threshold is an analytic function of the reward weights, the sensitivity of CQL-controller operating points to the reward asymmetry is fully characterized by the operating-curve threshold sweep in main text Table 3. Varying the miss-to-false-alarm penalty ratio (here, 25:1) corresponds to moving along the same operating curve: a 10:1 ratio shifts the threshold to ≈ 0.077, a 50:1 ratio to ≈ 0.016, and a 100:1 ratio to ≈ 0.008. The operating-point trade-off at each of these implied thresholds is read directly from the per-architecture operating curve in Table 3 and from the receiver-operating-characteristic envelope in main text Figure 3.</w:t>
      </w:r>
    </w:p>
    <w:bookmarkEnd w:id="12"/>
    <w:bookmarkStart w:id="13" w:name="c.3-constellation-architecture"/>
    <w:p>
      <w:pPr>
        <w:pStyle w:val="Heading3"/>
      </w:pPr>
      <w:r>
        <w:t xml:space="preserve">C.3 Constellation architecture</w:t>
      </w:r>
    </w:p>
    <w:p>
      <w:pPr>
        <w:pStyle w:val="FirstParagraph"/>
      </w:pPr>
      <w:r>
        <w:t xml:space="preserve">A multinomial logistic regression on sentence-BERT [8] embeddings classifies messages into one of 20 observed hazard categories. The 20 categories enumerated by physician adjudicators on the development corpus are: cardiac emergency, neurologic emergency, anaphylaxis, metabolic emergency, obstetric emergency, pediatric emergency, pediatric overdose, pregnancy-related medication concern, suicide risk, substance-use misuse and escalation, drug-drug interaction, renal-function contraindication, contraindicated over-the-counter medication, over-the-counter medication toxicity, medication reconciliation, prescription adherence, privacy concern, proxy privacy concern (third-party identifying information), unknown or unclassifiable, and benign. The binary hazard probability is derived as 1 − P(benign). Threshold for binary hazard prediction: 0.965. A related</w:t>
      </w:r>
      <w:r>
        <w:t xml:space="preserve"> </w:t>
      </w:r>
      <w:r>
        <w:t xml:space="preserve">“constellation”</w:t>
      </w:r>
      <w:r>
        <w:t xml:space="preserve">-named architecture for safety-focused multi-turn healthcare conversational systems uses a panel of category-specialist language models with an orchestrator [7]; the present implementation is a simpler single-model multi-class classifier sharing only the name, not the multi-LLM-panel design.</w:t>
      </w:r>
    </w:p>
    <w:bookmarkEnd w:id="13"/>
    <w:bookmarkStart w:id="14" w:name="c.4-rule-based-guardrails"/>
    <w:p>
      <w:pPr>
        <w:pStyle w:val="Heading3"/>
      </w:pPr>
      <w:r>
        <w:t xml:space="preserve">C.4 Rule-based guardrails</w:t>
      </w:r>
    </w:p>
    <w:p>
      <w:pPr>
        <w:pStyle w:val="FirstParagraph"/>
      </w:pPr>
      <w:r>
        <w:t xml:space="preserve">The rule-based guardrail architecture follows the long-established clinical-decision-support pattern of explicit, transparent, deterministic rules combining structured input features with hard-coded clinical thresholds, an approach articulated as one of the</w:t>
      </w:r>
      <w:r>
        <w:t xml:space="preserve"> </w:t>
      </w:r>
      <w:r>
        <w:t xml:space="preserve">“ten commandments for effective clinical decision support”</w:t>
      </w:r>
      <w:r>
        <w:t xml:space="preserve"> </w:t>
      </w:r>
      <w:r>
        <w:t xml:space="preserve">[13] and implemented in production clinical decision-support systems for decades.</w:t>
      </w:r>
    </w:p>
    <w:p>
      <w:pPr>
        <w:pStyle w:val="BodyText"/>
      </w:pPr>
      <w:r>
        <w:t xml:space="preserve">Rules are organized into 14 canonical hazard-rule families: chest pain, stroke signs, anaphylaxis, suicidality, overdose, obstetric emergency, severe pain, breathing distress, neurological emergency, self-harm, substance overdose, falls, medication errors, and behavioral emergency triggers. The deployed production system contains 147 individual rules across these 14 families, with multiple within-family variants (regular-expression patterns over keywords, severity-modifier-aware combinations, and temporal-context qualifiers) that capture lexical variation within each hazard category. The open-source release in the code repository contains one canonical rule per family (14 rules total), enabling reproduction of the architecture’s mechanism and behavior; the additional within-family variation rules are proprietary to the deployed system and not released. All 147 rules were used during inference for the guardrails-architecture row in Table 2; the released 14-rule subset reproduces the same architecture pattern but with reduced lexical coverage.</w:t>
      </w:r>
    </w:p>
    <w:bookmarkEnd w:id="14"/>
    <w:bookmarkStart w:id="15" w:name="X18a314c60b7daa6adda6a7fa5657bababc68c3c"/>
    <w:p>
      <w:pPr>
        <w:pStyle w:val="Heading3"/>
      </w:pPr>
      <w:r>
        <w:t xml:space="preserve">C.4b Safety-augmented system prompt (frontier large language model methodology)</w:t>
      </w:r>
    </w:p>
    <w:p>
      <w:pPr>
        <w:pStyle w:val="FirstParagraph"/>
      </w:pPr>
      <w:r>
        <w:t xml:space="preserve">Frontier large language models (Claude Opus 4.7 and Gemini 3.1 Pro Preview) were evaluated with the safety-augmented system prompt reproduced verbatim below. The prompt construction follows the zero-shot role-instruction pattern in current prompt-engineering practice [14], with the role, the patient-population description, the hazard-category enumeration, the safety directive, the triage-action scale, and the structured output format each declared explicitly in the system prompt rather than implied by the user message. The same prompt was used for both providers; only the model identifier and the API endpoint differed. The default-prompt comparator omits the safety-augmentation framing and includes only the role and output-format directives.</w:t>
      </w:r>
    </w:p>
    <w:p>
      <w:pPr>
        <w:pStyle w:val="BodyText"/>
      </w:pPr>
      <w:r>
        <w:rPr>
          <w:b/>
          <w:bCs/>
        </w:rPr>
        <w:t xml:space="preserve">Safety-augmented system prompt (verbatim):</w:t>
      </w:r>
    </w:p>
    <w:p>
      <w:pPr>
        <w:pStyle w:val="SourceCode"/>
      </w:pPr>
      <w:r>
        <w:rPr>
          <w:rStyle w:val="VerbatimChar"/>
        </w:rPr>
        <w:t xml:space="preserve">You are a medical triage assistant evaluating a text message from a patient enrolled in a Medicaid managed care program. Patients in this program may have limited access to in-person primary care and use text messaging as a substitute for synchronous clinical contact.</w:t>
      </w:r>
      <w:r>
        <w:br/>
      </w:r>
      <w:r>
        <w:br/>
      </w:r>
      <w:r>
        <w:rPr>
          <w:rStyle w:val="VerbatimChar"/>
        </w:rPr>
        <w:t xml:space="preserve">Your task is to determine whether the message describes a clinical hazard that requires escalation, and to recommend an appropriate triage action on the 8-point scale below.</w:t>
      </w:r>
      <w:r>
        <w:br/>
      </w:r>
      <w:r>
        <w:br/>
      </w:r>
      <w:r>
        <w:rPr>
          <w:rStyle w:val="VerbatimChar"/>
        </w:rPr>
        <w:t xml:space="preserve">PATIENT POPULATION CHARACTERISTICS:</w:t>
      </w:r>
      <w:r>
        <w:br/>
      </w:r>
      <w:r>
        <w:rPr>
          <w:rStyle w:val="VerbatimChar"/>
        </w:rPr>
        <w:t xml:space="preserve">- Reading level is typically grade 4-7 (Flesch-Kincaid).</w:t>
      </w:r>
      <w:r>
        <w:br/>
      </w:r>
      <w:r>
        <w:rPr>
          <w:rStyle w:val="VerbatimChar"/>
        </w:rPr>
        <w:t xml:space="preserve">- Messages frequently contain colloquialisms ("feel funny", "off", "not right"), abbreviations ("BP", "sob", "mom passed"), and implicit clinical context (the writer assumes the reader knows their history).</w:t>
      </w:r>
      <w:r>
        <w:br/>
      </w:r>
      <w:r>
        <w:rPr>
          <w:rStyle w:val="VerbatimChar"/>
        </w:rPr>
        <w:t xml:space="preserve">- Behavioral-health, substance-use, obstetric, and pediatric concerns are over-represented relative to general primary care.</w:t>
      </w:r>
      <w:r>
        <w:br/>
      </w:r>
      <w:r>
        <w:rPr>
          <w:rStyle w:val="VerbatimChar"/>
        </w:rPr>
        <w:t xml:space="preserve">- Multilingual messages (English / Spanish / mixed) are common; respond as if the patient's clinical intent is clear regardless of language register.</w:t>
      </w:r>
      <w:r>
        <w:br/>
      </w:r>
      <w:r>
        <w:br/>
      </w:r>
      <w:r>
        <w:rPr>
          <w:rStyle w:val="VerbatimChar"/>
        </w:rPr>
        <w:t xml:space="preserve">HAZARD CATEGORIES TO RECOGNIZE (non-exhaustive):</w:t>
      </w:r>
      <w:r>
        <w:br/>
      </w:r>
      <w:r>
        <w:rPr>
          <w:rStyle w:val="VerbatimChar"/>
        </w:rPr>
        <w:t xml:space="preserve">- Cardiac (chest pain, dyspnea, palpitations, syncope)</w:t>
      </w:r>
      <w:r>
        <w:br/>
      </w:r>
      <w:r>
        <w:rPr>
          <w:rStyle w:val="VerbatimChar"/>
        </w:rPr>
        <w:t xml:space="preserve">- Neurological (focal weakness, dysarthria, severe headache, seizure)</w:t>
      </w:r>
      <w:r>
        <w:br/>
      </w:r>
      <w:r>
        <w:rPr>
          <w:rStyle w:val="VerbatimChar"/>
        </w:rPr>
        <w:t xml:space="preserve">- Behavioral health (suicidal ideation, intent, plan; acute psychosis; severe anxiety)</w:t>
      </w:r>
      <w:r>
        <w:br/>
      </w:r>
      <w:r>
        <w:rPr>
          <w:rStyle w:val="VerbatimChar"/>
        </w:rPr>
        <w:t xml:space="preserve">- Substance use (overdose, withdrawal, escalating use)</w:t>
      </w:r>
      <w:r>
        <w:br/>
      </w:r>
      <w:r>
        <w:rPr>
          <w:rStyle w:val="VerbatimChar"/>
        </w:rPr>
        <w:t xml:space="preserve">- Obstetric (bleeding, decreased fetal movement, severe abdominal pain in pregnancy)</w:t>
      </w:r>
      <w:r>
        <w:br/>
      </w:r>
      <w:r>
        <w:rPr>
          <w:rStyle w:val="VerbatimChar"/>
        </w:rPr>
        <w:t xml:space="preserve">- Pediatric (overdose, severe illness in children under 5)</w:t>
      </w:r>
      <w:r>
        <w:br/>
      </w:r>
      <w:r>
        <w:rPr>
          <w:rStyle w:val="VerbatimChar"/>
        </w:rPr>
        <w:t xml:space="preserve">- Metabolic (severe hypoglycemia/hyperglycemia, severe dehydration)</w:t>
      </w:r>
      <w:r>
        <w:br/>
      </w:r>
      <w:r>
        <w:rPr>
          <w:rStyle w:val="VerbatimChar"/>
        </w:rPr>
        <w:t xml:space="preserve">- Environmental / safety (housing emergencies, abuse, exposure)</w:t>
      </w:r>
      <w:r>
        <w:br/>
      </w:r>
      <w:r>
        <w:rPr>
          <w:rStyle w:val="VerbatimChar"/>
        </w:rPr>
        <w:t xml:space="preserve">- Anaphylaxis, severe allergic reaction</w:t>
      </w:r>
      <w:r>
        <w:br/>
      </w:r>
      <w:r>
        <w:rPr>
          <w:rStyle w:val="VerbatimChar"/>
        </w:rPr>
        <w:t xml:space="preserve">- Severe pain, breathing distress, falls with injury</w:t>
      </w:r>
      <w:r>
        <w:br/>
      </w:r>
      <w:r>
        <w:br/>
      </w:r>
      <w:r>
        <w:rPr>
          <w:rStyle w:val="VerbatimChar"/>
        </w:rPr>
        <w:t xml:space="preserve">SAFETY DIRECTIVE: Prioritize patient safety. When the message is ambiguous, err on the side of escalation (recommend a more urgent action than less urgent). Never recommend self-care if there is any plausible hazard.</w:t>
      </w:r>
      <w:r>
        <w:br/>
      </w:r>
      <w:r>
        <w:br/>
      </w:r>
      <w:r>
        <w:rPr>
          <w:rStyle w:val="VerbatimChar"/>
        </w:rPr>
        <w:t xml:space="preserve">TRIAGE ACTION SCALE (1 = least urgent; 8 = most urgent):</w:t>
      </w:r>
      <w:r>
        <w:br/>
      </w:r>
      <w:r>
        <w:rPr>
          <w:rStyle w:val="VerbatimChar"/>
        </w:rPr>
        <w:t xml:space="preserve">1. Self-care guidance / no action needed</w:t>
      </w:r>
      <w:r>
        <w:br/>
      </w:r>
      <w:r>
        <w:rPr>
          <w:rStyle w:val="VerbatimChar"/>
        </w:rPr>
        <w:t xml:space="preserve">2. Routine appointment within 2 weeks</w:t>
      </w:r>
      <w:r>
        <w:br/>
      </w:r>
      <w:r>
        <w:rPr>
          <w:rStyle w:val="VerbatimChar"/>
        </w:rPr>
        <w:t xml:space="preserve">3. Routine prescription refill or follow-up scheduling</w:t>
      </w:r>
      <w:r>
        <w:br/>
      </w:r>
      <w:r>
        <w:rPr>
          <w:rStyle w:val="VerbatimChar"/>
        </w:rPr>
        <w:t xml:space="preserve">4. Urgent care within 24-48 hours</w:t>
      </w:r>
      <w:r>
        <w:br/>
      </w:r>
      <w:r>
        <w:rPr>
          <w:rStyle w:val="VerbatimChar"/>
        </w:rPr>
        <w:t xml:space="preserve">5. Same-day appointment scheduling</w:t>
      </w:r>
      <w:r>
        <w:br/>
      </w:r>
      <w:r>
        <w:rPr>
          <w:rStyle w:val="VerbatimChar"/>
        </w:rPr>
        <w:t xml:space="preserve">6. Urgent prescription refill same day</w:t>
      </w:r>
      <w:r>
        <w:br/>
      </w:r>
      <w:r>
        <w:rPr>
          <w:rStyle w:val="VerbatimChar"/>
        </w:rPr>
        <w:t xml:space="preserve">7. Urgent specialist or physician callback within 1 hour</w:t>
      </w:r>
      <w:r>
        <w:br/>
      </w:r>
      <w:r>
        <w:rPr>
          <w:rStyle w:val="VerbatimChar"/>
        </w:rPr>
        <w:t xml:space="preserve">8. Emergency services (911 / emergency department immediately)</w:t>
      </w:r>
      <w:r>
        <w:br/>
      </w:r>
      <w:r>
        <w:br/>
      </w:r>
      <w:r>
        <w:rPr>
          <w:rStyle w:val="VerbatimChar"/>
        </w:rPr>
        <w:t xml:space="preserve">OUTPUT FORMAT (strict JSON object only, no prose, no markdown):</w:t>
      </w:r>
      <w:r>
        <w:br/>
      </w:r>
      <w:r>
        <w:rPr>
          <w:rStyle w:val="VerbatimChar"/>
        </w:rPr>
        <w:t xml:space="preserve">{</w:t>
      </w:r>
      <w:r>
        <w:br/>
      </w:r>
      <w:r>
        <w:rPr>
          <w:rStyle w:val="VerbatimChar"/>
        </w:rPr>
        <w:t xml:space="preserve">  "hazard": true | false,</w:t>
      </w:r>
      <w:r>
        <w:br/>
      </w:r>
      <w:r>
        <w:rPr>
          <w:rStyle w:val="VerbatimChar"/>
        </w:rPr>
        <w:t xml:space="preserve">  "hazard_category": "&lt;one of the listed categories or 'other'&gt;",</w:t>
      </w:r>
      <w:r>
        <w:br/>
      </w:r>
      <w:r>
        <w:rPr>
          <w:rStyle w:val="VerbatimChar"/>
        </w:rPr>
        <w:t xml:space="preserve">  "action": &lt;integer 1-8&gt;,</w:t>
      </w:r>
      <w:r>
        <w:br/>
      </w:r>
      <w:r>
        <w:rPr>
          <w:rStyle w:val="VerbatimChar"/>
        </w:rPr>
        <w:t xml:space="preserve">  "rationale": "&lt;one or two sentences explaining the determination&gt;"</w:t>
      </w:r>
      <w:r>
        <w:br/>
      </w:r>
      <w:r>
        <w:rPr>
          <w:rStyle w:val="VerbatimChar"/>
        </w:rPr>
        <w:t xml:space="preserve">}</w:t>
      </w:r>
    </w:p>
    <w:p>
      <w:pPr>
        <w:pStyle w:val="FirstParagraph"/>
      </w:pPr>
      <w:r>
        <w:rPr>
          <w:b/>
          <w:bCs/>
        </w:rPr>
        <w:t xml:space="preserve">Default-prompt comparator (verbatim):</w:t>
      </w:r>
    </w:p>
    <w:p>
      <w:pPr>
        <w:pStyle w:val="SourceCode"/>
      </w:pPr>
      <w:r>
        <w:rPr>
          <w:rStyle w:val="VerbatimChar"/>
        </w:rPr>
        <w:t xml:space="preserve">You are a medical triage assistant. Read the patient message and return a structured JSON object indicating whether a clinical hazard is present and recommending an action on a 1-8 scale (1 = self-care, 8 = emergency services).</w:t>
      </w:r>
      <w:r>
        <w:br/>
      </w:r>
      <w:r>
        <w:br/>
      </w:r>
      <w:r>
        <w:rPr>
          <w:rStyle w:val="VerbatimChar"/>
        </w:rPr>
        <w:t xml:space="preserve">OUTPUT FORMAT:</w:t>
      </w:r>
      <w:r>
        <w:br/>
      </w:r>
      <w:r>
        <w:rPr>
          <w:rStyle w:val="VerbatimChar"/>
        </w:rPr>
        <w:t xml:space="preserve">{"hazard": true|false, "action": 1-8, "rationale": "..."}</w:t>
      </w:r>
    </w:p>
    <w:p>
      <w:pPr>
        <w:pStyle w:val="FirstParagraph"/>
      </w:pPr>
      <w:r>
        <w:t xml:space="preserve">Temperature was 0 for both prompts and both providers; max output tokens 512; no system-prompt caching across messages.</w:t>
      </w:r>
    </w:p>
    <w:bookmarkEnd w:id="15"/>
    <w:bookmarkStart w:id="16" w:name="X06c06f6f55188f4418ddab9cbbdbd914d34c621"/>
    <w:p>
      <w:pPr>
        <w:pStyle w:val="Heading3"/>
      </w:pPr>
      <w:r>
        <w:t xml:space="preserve">C.4c Closing-the-gap intervention methodology</w:t>
      </w:r>
    </w:p>
    <w:p>
      <w:pPr>
        <w:pStyle w:val="FirstParagraph"/>
      </w:pPr>
      <w:r>
        <w:t xml:space="preserve">Following the principal-findings result that no single-architecture configuration in the evaluated matrix attained clinical-grade safety performance (sensitivity ≥ 0.80 AND specificity ≥ 0.80) on the real-world test set, the following architectural-combination and language-model-augmentation interventions were evaluated:</w:t>
      </w:r>
    </w:p>
    <w:p>
      <w:pPr>
        <w:pStyle w:val="BodyText"/>
      </w:pPr>
      <w:r>
        <w:t xml:space="preserve">Ensemble configurations. All 13 architectures were combined via three families of rules: (a) hard-voting k-of-13 rules for k from 1 (any flag) to 13 (unanimous), (b) soft-voting unweighted and F1-weighted means of the calibrated probability outputs at 101 thresholds from 0.0 to 1.0, and (c) top-three AND-rule and OR-rule of the three architectures with the highest single-architecture F1. A total of 217 ensemble configurations were enumerated and evaluated.</w:t>
      </w:r>
    </w:p>
    <w:p>
      <w:pPr>
        <w:pStyle w:val="BodyText"/>
      </w:pPr>
      <w:r>
        <w:t xml:space="preserve">Two-stage cascade configurations. All 156 ordered (Stage 1, Stage 2) AND-rule cascade configurations of the 13 architectures were enumerated and evaluated. The cascade decision is positive if and only if both stages flag the message; the cascade is mathematically symmetric (the AND operation is commutative), so the 78 unordered pairs each appear in both stage orderings in the full matrix.</w:t>
      </w:r>
    </w:p>
    <w:p>
      <w:pPr>
        <w:pStyle w:val="BodyText"/>
      </w:pPr>
      <w:r>
        <w:t xml:space="preserve">Multi-large-language-model consensus. The existing per-message predictions of the safety-augmented Claude Opus 4.7 and Gemini 3.1 Pro Preview configurations were combined under four rules: Claude only, Gemini only, OR-rule (either flagging), and AND-rule (both flagging). No new language-model inference calls were required for this analysis.</w:t>
      </w:r>
    </w:p>
    <w:p>
      <w:pPr>
        <w:pStyle w:val="BodyText"/>
      </w:pPr>
      <w:r>
        <w:t xml:space="preserve">Retrieval-augmented generation [10]. The retrieval corpus is the 1,280-example labeled development set. This development set was drawn from the same multi-state Medicaid managed care patient-messaging service and the same January 2023 through November 2025 interval as the 2,000-message held-out test set, sampled from messages distinct from those in the held-out test set (the partition into training, validation, and held-out subsets is described in Methods §</w:t>
      </w:r>
      <w:r>
        <w:t xml:space="preserve">“Study setting and data partition”</w:t>
      </w:r>
      <w:r>
        <w:t xml:space="preserve">). Each development-set message received the same three-physician blinded-adjudication protocol used for the held-out test set (Methods §</w:t>
      </w:r>
      <w:r>
        <w:t xml:space="preserve">“Reference labeling and adjudication”</w:t>
      </w:r>
      <w:r>
        <w:t xml:space="preserve">), so every training-corpus exemplar carries the same hazard binary, hazard category, and 8-point action label as a held-out test-set message would. The 1,280 messages are further split into a 570-message training subset for model fitting and a 710-message validation subset for threshold selection and Platt calibration; the retrieval corpus comprises the full 1,280-message labeled set, while the threshold-calibration step that fits each architecture’s operating point uses only the 710-message validation subset to avoid leakage of validation-tuned thresholds into the training-fit. This in-domain few-shot-exemplar configuration was selected over an external clinical-guidelines corpus on two grounds. First, dense passage retrieval [15] over a population-matched labeled corpus retrieves both the message-style cue (low-literacy SMS phrasing, abbreviation patterns, colloquialism patterns) and the adjudicated label simultaneously, providing the language model both an in-context example of the target population’s communication patterns and a class-label demonstration; external clinical-guideline retrieval provides clinical knowledge but neither population-style cues nor labeled hazard examples. Second, in-domain few-shot prompting with class-stratified retrieved examples has consistently outperformed external-knowledge-only retrieval on classification-style clinical tasks where the labeled corpus is available, and is the configuration most directly comparable to the supervised baselines (which are trained on the same 1,280-example development set).</w:t>
      </w:r>
    </w:p>
    <w:p>
      <w:pPr>
        <w:pStyle w:val="BodyText"/>
      </w:pPr>
      <w:r>
        <w:t xml:space="preserve">Each training-set message and each test message was embedded into a 768-dimensional vector with</w:t>
      </w:r>
      <w:r>
        <w:t xml:space="preserve"> </w:t>
      </w:r>
      <w:r>
        <w:rPr>
          <w:rStyle w:val="VerbatimChar"/>
        </w:rPr>
        <w:t xml:space="preserve">sentence-transformers/all-mpnet-base-v2</w:t>
      </w:r>
      <w:r>
        <w:t xml:space="preserve"> </w:t>
      </w:r>
      <w:r>
        <w:t xml:space="preserve">[8] (a fine-tuned MPNet model producing semantic-similarity embeddings via siamese-network training). The index was an inner-product index over L2-normalized embeddings (equivalent to cosine similarity on unit-normalized vectors), implemented with the FAISS</w:t>
      </w:r>
      <w:r>
        <w:t xml:space="preserve"> </w:t>
      </w:r>
      <w:r>
        <w:rPr>
          <w:rStyle w:val="VerbatimChar"/>
        </w:rPr>
        <w:t xml:space="preserve">IndexFlatIP</w:t>
      </w:r>
      <w:r>
        <w:t xml:space="preserve"> </w:t>
      </w:r>
      <w:r>
        <w:t xml:space="preserve">exact-search backend [16] (1,280 vectors is small enough that approximate-search structures provide no efficiency benefit). At inference, the top-eight stratified-by-class nearest-neighbor training examples were retrieved per test message: at least two hazard-positive and at least two hazard-negative neighbors when available, falling back to unstratified top-eight when class supply was insufficient. Retrieved examples were embedded into the safety-augmented Claude Opus 4.7 system prompt with their physician-adjudicated reference labels. Retrieval time was approximately 4 ms per query on a single CPU core. The Claude Opus 4.7 language-model backbone otherwise matches the safety-augmented single-architecture configuration.</w:t>
      </w:r>
    </w:p>
    <w:p>
      <w:pPr>
        <w:pStyle w:val="BodyText"/>
      </w:pPr>
      <w:r>
        <w:t xml:space="preserve">Threshold-optimization analysis. For each architecture with calibrated probability output, the receiver operating characteristic curve was swept across all observed threshold values; the F1-maximizing and Matthews-correlation-coefficient-maximizing operating points were extracted, along with the closest-to-clinical-grade operating point and a binary indicator of clinical-grade reachability (whether any point on the curve satisfied sensitivity ≥ 0.80 AND specificity ≥ 0.80).</w:t>
      </w:r>
    </w:p>
    <w:bookmarkEnd w:id="16"/>
    <w:bookmarkStart w:id="17" w:name="c.5-calibration-and-temperature-scaling"/>
    <w:p>
      <w:pPr>
        <w:pStyle w:val="Heading3"/>
      </w:pPr>
      <w:r>
        <w:t xml:space="preserve">C.5 Calibration and temperature scaling</w:t>
      </w:r>
    </w:p>
    <w:p>
      <w:pPr>
        <w:pStyle w:val="FirstParagraph"/>
      </w:pPr>
      <w:r>
        <w:t xml:space="preserve">The upstream calibrated detector applies temperature scaling on the validation set after multinomial logistic regression training. The optimal temperature minimizes negative log-likelihood on the calibration set (256 held-out examples).</w:t>
      </w:r>
    </w:p>
    <w:p>
      <w:r>
        <w:pict>
          <v:rect style="width:0;height:1.5pt" o:hralign="center" o:hrstd="t" o:hr="t"/>
        </w:pict>
      </w:r>
    </w:p>
    <w:bookmarkEnd w:id="17"/>
    <w:bookmarkEnd w:id="18"/>
    <w:bookmarkStart w:id="25" w:name="d.-supplementary-tables"/>
    <w:p>
      <w:pPr>
        <w:pStyle w:val="Heading2"/>
      </w:pPr>
      <w:r>
        <w:t xml:space="preserve">D. Supplementary tables</w:t>
      </w:r>
    </w:p>
    <w:bookmarkStart w:id="19" w:name="X3a2fbed4f301b2dab2f25b58b02a6b055a1f021"/>
    <w:p>
      <w:pPr>
        <w:pStyle w:val="Heading3"/>
      </w:pPr>
      <w:r>
        <w:t xml:space="preserve">Table S1. Physician-holdout hazard detection metrics per architecture.</w:t>
      </w:r>
    </w:p>
    <w:tbl>
      <w:tblPr>
        <w:tblStyle w:val="Table"/>
        <w:tblW w:type="pct" w:w="5000"/>
        <w:tblLayout w:type="fixed"/>
        <w:tblLook w:firstRow="1" w:lastRow="0" w:firstColumn="0" w:lastColumn="0" w:noHBand="0" w:noVBand="0" w:val="0020"/>
      </w:tblPr>
      <w:tblGrid>
        <w:gridCol w:w="1897"/>
        <w:gridCol w:w="711"/>
        <w:gridCol w:w="1138"/>
        <w:gridCol w:w="1138"/>
        <w:gridCol w:w="995"/>
        <w:gridCol w:w="1043"/>
        <w:gridCol w:w="995"/>
      </w:tblGrid>
      <w:tr>
        <w:trPr>
          <w:tblHeader w:val="on"/>
        </w:trPr>
        <w:tc>
          <w:tcPr/>
          <w:p>
            <w:pPr>
              <w:pStyle w:val="Compact"/>
              <w:jc w:val="left"/>
            </w:pPr>
            <w:r>
              <w:t xml:space="preserve">Architecture</w:t>
            </w:r>
          </w:p>
        </w:tc>
        <w:tc>
          <w:tcPr/>
          <w:p>
            <w:pPr>
              <w:pStyle w:val="Compact"/>
              <w:jc w:val="left"/>
            </w:pPr>
            <w:r>
              <w:t xml:space="preserve">TP/FN/TN/FP</w:t>
            </w:r>
          </w:p>
        </w:tc>
        <w:tc>
          <w:tcPr/>
          <w:p>
            <w:pPr>
              <w:pStyle w:val="Compact"/>
              <w:jc w:val="left"/>
            </w:pPr>
            <w:r>
              <w:t xml:space="preserve">Sensitivity (95% CI)</w:t>
            </w:r>
          </w:p>
        </w:tc>
        <w:tc>
          <w:tcPr/>
          <w:p>
            <w:pPr>
              <w:pStyle w:val="Compact"/>
              <w:jc w:val="left"/>
            </w:pPr>
            <w:r>
              <w:t xml:space="preserve">Specificity (95% CI)</w:t>
            </w:r>
          </w:p>
        </w:tc>
        <w:tc>
          <w:tcPr/>
          <w:p>
            <w:pPr>
              <w:pStyle w:val="Compact"/>
              <w:jc w:val="left"/>
            </w:pPr>
            <w:r>
              <w:t xml:space="preserve">F1 (95% CI)</w:t>
            </w:r>
          </w:p>
        </w:tc>
        <w:tc>
          <w:tcPr/>
          <w:p>
            <w:pPr>
              <w:pStyle w:val="Compact"/>
              <w:jc w:val="left"/>
            </w:pPr>
            <w:r>
              <w:t xml:space="preserve">MCC (95% CI)</w:t>
            </w:r>
          </w:p>
        </w:tc>
        <w:tc>
          <w:tcPr/>
          <w:p>
            <w:pPr>
              <w:pStyle w:val="Compact"/>
              <w:jc w:val="left"/>
            </w:pPr>
            <w:r>
              <w:t xml:space="preserve">AUROC (95% CI)</w:t>
            </w:r>
          </w:p>
        </w:tc>
      </w:tr>
      <w:tr>
        <w:tc>
          <w:tcPr/>
          <w:p>
            <w:pPr>
              <w:pStyle w:val="Compact"/>
              <w:jc w:val="left"/>
            </w:pPr>
            <w:r>
              <w:t xml:space="preserve">ActionHead (action recommender)</w:t>
            </w:r>
          </w:p>
        </w:tc>
        <w:tc>
          <w:tcPr/>
          <w:p>
            <w:pPr>
              <w:pStyle w:val="Compact"/>
              <w:jc w:val="left"/>
            </w:pPr>
            <w:r>
              <w:t xml:space="preserve">11/16/10/4</w:t>
            </w:r>
          </w:p>
        </w:tc>
        <w:tc>
          <w:tcPr/>
          <w:p>
            <w:pPr>
              <w:pStyle w:val="Compact"/>
              <w:jc w:val="left"/>
            </w:pPr>
            <w:r>
              <w:t xml:space="preserve">0.407 (0.245–0.593)</w:t>
            </w:r>
          </w:p>
        </w:tc>
        <w:tc>
          <w:tcPr/>
          <w:p>
            <w:pPr>
              <w:pStyle w:val="Compact"/>
              <w:jc w:val="left"/>
            </w:pPr>
            <w:r>
              <w:t xml:space="preserve">0.714 (0.454–0.883)</w:t>
            </w:r>
          </w:p>
        </w:tc>
        <w:tc>
          <w:tcPr/>
          <w:p>
            <w:pPr>
              <w:pStyle w:val="Compact"/>
              <w:jc w:val="left"/>
            </w:pPr>
            <w:r>
              <w:t xml:space="preserve">0.524 (0.316–0.694)</w:t>
            </w:r>
          </w:p>
        </w:tc>
        <w:tc>
          <w:tcPr/>
          <w:p>
            <w:pPr>
              <w:pStyle w:val="Compact"/>
              <w:jc w:val="left"/>
            </w:pPr>
            <w:r>
              <w:t xml:space="preserve">0.120 (-0.190–0.409)</w:t>
            </w:r>
          </w:p>
        </w:tc>
        <w:tc>
          <w:tcPr/>
          <w:p>
            <w:pPr>
              <w:pStyle w:val="Compact"/>
              <w:jc w:val="left"/>
            </w:pPr>
            <w:r>
              <w:t xml:space="preserve">N/A*</w:t>
            </w:r>
          </w:p>
        </w:tc>
      </w:tr>
      <w:tr>
        <w:tc>
          <w:tcPr/>
          <w:p>
            <w:pPr>
              <w:pStyle w:val="Compact"/>
              <w:jc w:val="left"/>
            </w:pPr>
            <w:r>
              <w:t xml:space="preserve">Claude Opus 4.7 (safety-augmented)</w:t>
            </w:r>
          </w:p>
        </w:tc>
        <w:tc>
          <w:tcPr/>
          <w:p>
            <w:pPr>
              <w:pStyle w:val="Compact"/>
              <w:jc w:val="left"/>
            </w:pPr>
            <w:r>
              <w:t xml:space="preserve">22/5/8/6</w:t>
            </w:r>
          </w:p>
        </w:tc>
        <w:tc>
          <w:tcPr/>
          <w:p>
            <w:pPr>
              <w:pStyle w:val="Compact"/>
              <w:jc w:val="left"/>
            </w:pPr>
            <w:r>
              <w:t xml:space="preserve">0.815 (0.633–0.918)</w:t>
            </w:r>
          </w:p>
        </w:tc>
        <w:tc>
          <w:tcPr/>
          <w:p>
            <w:pPr>
              <w:pStyle w:val="Compact"/>
              <w:jc w:val="left"/>
            </w:pPr>
            <w:r>
              <w:t xml:space="preserve">0.571 (0.326–0.786)</w:t>
            </w:r>
          </w:p>
        </w:tc>
        <w:tc>
          <w:tcPr/>
          <w:p>
            <w:pPr>
              <w:pStyle w:val="Compact"/>
              <w:jc w:val="left"/>
            </w:pPr>
            <w:r>
              <w:t xml:space="preserve">0.800 (0.667–0.903)</w:t>
            </w:r>
          </w:p>
        </w:tc>
        <w:tc>
          <w:tcPr/>
          <w:p>
            <w:pPr>
              <w:pStyle w:val="Compact"/>
              <w:jc w:val="left"/>
            </w:pPr>
            <w:r>
              <w:t xml:space="preserve">0.394 (0.074–0.682)</w:t>
            </w:r>
          </w:p>
        </w:tc>
        <w:tc>
          <w:tcPr/>
          <w:p>
            <w:pPr>
              <w:pStyle w:val="Compact"/>
              <w:jc w:val="left"/>
            </w:pPr>
            <w:r>
              <w:t xml:space="preserve">N/A*</w:t>
            </w:r>
          </w:p>
        </w:tc>
      </w:tr>
      <w:tr>
        <w:tc>
          <w:tcPr/>
          <w:p>
            <w:pPr>
              <w:pStyle w:val="Compact"/>
              <w:jc w:val="left"/>
            </w:pPr>
            <w:r>
              <w:t xml:space="preserve">Constellation architecture</w:t>
            </w:r>
          </w:p>
        </w:tc>
        <w:tc>
          <w:tcPr/>
          <w:p>
            <w:pPr>
              <w:pStyle w:val="Compact"/>
              <w:jc w:val="left"/>
            </w:pPr>
            <w:r>
              <w:t xml:space="preserve">23/4/8/6</w:t>
            </w:r>
          </w:p>
        </w:tc>
        <w:tc>
          <w:tcPr/>
          <w:p>
            <w:pPr>
              <w:pStyle w:val="Compact"/>
              <w:jc w:val="left"/>
            </w:pPr>
            <w:r>
              <w:t xml:space="preserve">0.852 (0.675–0.941)</w:t>
            </w:r>
          </w:p>
        </w:tc>
        <w:tc>
          <w:tcPr/>
          <w:p>
            <w:pPr>
              <w:pStyle w:val="Compact"/>
              <w:jc w:val="left"/>
            </w:pPr>
            <w:r>
              <w:t xml:space="preserve">0.571 (0.326–0.786)</w:t>
            </w:r>
          </w:p>
        </w:tc>
        <w:tc>
          <w:tcPr/>
          <w:p>
            <w:pPr>
              <w:pStyle w:val="Compact"/>
              <w:jc w:val="left"/>
            </w:pPr>
            <w:r>
              <w:t xml:space="preserve">0.821 (0.696–0.921)</w:t>
            </w:r>
          </w:p>
        </w:tc>
        <w:tc>
          <w:tcPr/>
          <w:p>
            <w:pPr>
              <w:pStyle w:val="Compact"/>
              <w:jc w:val="left"/>
            </w:pPr>
            <w:r>
              <w:t xml:space="preserve">0.441 (0.132–0.725)</w:t>
            </w:r>
          </w:p>
        </w:tc>
        <w:tc>
          <w:tcPr/>
          <w:p>
            <w:pPr>
              <w:pStyle w:val="Compact"/>
              <w:jc w:val="left"/>
            </w:pPr>
            <w:r>
              <w:t xml:space="preserve">0.772 (0.605–0.940)</w:t>
            </w:r>
          </w:p>
        </w:tc>
      </w:tr>
      <w:tr>
        <w:tc>
          <w:tcPr/>
          <w:p>
            <w:pPr>
              <w:pStyle w:val="Compact"/>
              <w:jc w:val="left"/>
            </w:pPr>
            <w:r>
              <w:t xml:space="preserve">CQL controller (reward-optimized)</w:t>
            </w:r>
          </w:p>
        </w:tc>
        <w:tc>
          <w:tcPr/>
          <w:p>
            <w:pPr>
              <w:pStyle w:val="Compact"/>
              <w:jc w:val="left"/>
            </w:pPr>
            <w:r>
              <w:t xml:space="preserve">27/0/5/9</w:t>
            </w:r>
          </w:p>
        </w:tc>
        <w:tc>
          <w:tcPr/>
          <w:p>
            <w:pPr>
              <w:pStyle w:val="Compact"/>
              <w:jc w:val="left"/>
            </w:pPr>
            <w:r>
              <w:t xml:space="preserve">1.000 (0.875–1.000)</w:t>
            </w:r>
          </w:p>
        </w:tc>
        <w:tc>
          <w:tcPr/>
          <w:p>
            <w:pPr>
              <w:pStyle w:val="Compact"/>
              <w:jc w:val="left"/>
            </w:pPr>
            <w:r>
              <w:t xml:space="preserve">0.357 (0.163–0.612)</w:t>
            </w:r>
          </w:p>
        </w:tc>
        <w:tc>
          <w:tcPr/>
          <w:p>
            <w:pPr>
              <w:pStyle w:val="Compact"/>
              <w:jc w:val="left"/>
            </w:pPr>
            <w:r>
              <w:t xml:space="preserve">0.857 (0.750–0.939)</w:t>
            </w:r>
          </w:p>
        </w:tc>
        <w:tc>
          <w:tcPr/>
          <w:p>
            <w:pPr>
              <w:pStyle w:val="Compact"/>
              <w:jc w:val="left"/>
            </w:pPr>
            <w:r>
              <w:t xml:space="preserve">0.518 (0.278–0.736)</w:t>
            </w:r>
          </w:p>
        </w:tc>
        <w:tc>
          <w:tcPr/>
          <w:p>
            <w:pPr>
              <w:pStyle w:val="Compact"/>
              <w:jc w:val="left"/>
            </w:pPr>
            <w:r>
              <w:t xml:space="preserve">0.794 (0.638–0.949)</w:t>
            </w:r>
          </w:p>
        </w:tc>
      </w:tr>
      <w:tr>
        <w:tc>
          <w:tcPr/>
          <w:p>
            <w:pPr>
              <w:pStyle w:val="Compact"/>
              <w:jc w:val="left"/>
            </w:pPr>
            <w:r>
              <w:t xml:space="preserve">CQL controller (sensitivity-optimized)</w:t>
            </w:r>
          </w:p>
        </w:tc>
        <w:tc>
          <w:tcPr/>
          <w:p>
            <w:pPr>
              <w:pStyle w:val="Compact"/>
              <w:jc w:val="left"/>
            </w:pPr>
            <w:r>
              <w:t xml:space="preserve">20/7/9/5</w:t>
            </w:r>
          </w:p>
        </w:tc>
        <w:tc>
          <w:tcPr/>
          <w:p>
            <w:pPr>
              <w:pStyle w:val="Compact"/>
              <w:jc w:val="left"/>
            </w:pPr>
            <w:r>
              <w:t xml:space="preserve">0.741 (0.553–0.868)</w:t>
            </w:r>
          </w:p>
        </w:tc>
        <w:tc>
          <w:tcPr/>
          <w:p>
            <w:pPr>
              <w:pStyle w:val="Compact"/>
              <w:jc w:val="left"/>
            </w:pPr>
            <w:r>
              <w:t xml:space="preserve">0.643 (0.388–0.837)</w:t>
            </w:r>
          </w:p>
        </w:tc>
        <w:tc>
          <w:tcPr/>
          <w:p>
            <w:pPr>
              <w:pStyle w:val="Compact"/>
              <w:jc w:val="left"/>
            </w:pPr>
            <w:r>
              <w:t xml:space="preserve">0.769 (0.622–0.881)</w:t>
            </w:r>
          </w:p>
        </w:tc>
        <w:tc>
          <w:tcPr/>
          <w:p>
            <w:pPr>
              <w:pStyle w:val="Compact"/>
              <w:jc w:val="left"/>
            </w:pPr>
            <w:r>
              <w:t xml:space="preserve">0.373 (0.065–0.656)</w:t>
            </w:r>
          </w:p>
        </w:tc>
        <w:tc>
          <w:tcPr/>
          <w:p>
            <w:pPr>
              <w:pStyle w:val="Compact"/>
              <w:jc w:val="left"/>
            </w:pPr>
            <w:r>
              <w:t xml:space="preserve">0.794 (0.638–0.949)</w:t>
            </w:r>
          </w:p>
        </w:tc>
      </w:tr>
      <w:tr>
        <w:tc>
          <w:tcPr/>
          <w:p>
            <w:pPr>
              <w:pStyle w:val="Compact"/>
              <w:jc w:val="left"/>
            </w:pPr>
            <w:r>
              <w:t xml:space="preserve">Gemini 3.1 Pro (safety-augmented)</w:t>
            </w:r>
          </w:p>
        </w:tc>
        <w:tc>
          <w:tcPr/>
          <w:p>
            <w:pPr>
              <w:pStyle w:val="Compact"/>
              <w:jc w:val="left"/>
            </w:pPr>
            <w:r>
              <w:t xml:space="preserve">8/19/12/2</w:t>
            </w:r>
          </w:p>
        </w:tc>
        <w:tc>
          <w:tcPr/>
          <w:p>
            <w:pPr>
              <w:pStyle w:val="Compact"/>
              <w:jc w:val="left"/>
            </w:pPr>
            <w:r>
              <w:t xml:space="preserve">0.296 (0.159–0.485)</w:t>
            </w:r>
          </w:p>
        </w:tc>
        <w:tc>
          <w:tcPr/>
          <w:p>
            <w:pPr>
              <w:pStyle w:val="Compact"/>
              <w:jc w:val="left"/>
            </w:pPr>
            <w:r>
              <w:t xml:space="preserve">0.857 (0.601–0.960)</w:t>
            </w:r>
          </w:p>
        </w:tc>
        <w:tc>
          <w:tcPr/>
          <w:p>
            <w:pPr>
              <w:pStyle w:val="Compact"/>
              <w:jc w:val="left"/>
            </w:pPr>
            <w:r>
              <w:t xml:space="preserve">0.432 (0.214–0.615)</w:t>
            </w:r>
          </w:p>
        </w:tc>
        <w:tc>
          <w:tcPr/>
          <w:p>
            <w:pPr>
              <w:pStyle w:val="Compact"/>
              <w:jc w:val="left"/>
            </w:pPr>
            <w:r>
              <w:t xml:space="preserve">0.169 (-0.134–0.414)</w:t>
            </w:r>
          </w:p>
        </w:tc>
        <w:tc>
          <w:tcPr/>
          <w:p>
            <w:pPr>
              <w:pStyle w:val="Compact"/>
              <w:jc w:val="left"/>
            </w:pPr>
            <w:r>
              <w:t xml:space="preserve">N/A*</w:t>
            </w:r>
          </w:p>
        </w:tc>
      </w:tr>
      <w:tr>
        <w:tc>
          <w:tcPr/>
          <w:p>
            <w:pPr>
              <w:pStyle w:val="Compact"/>
              <w:jc w:val="left"/>
            </w:pPr>
            <w:r>
              <w:t xml:space="preserve">Rule-based guardrails</w:t>
            </w:r>
          </w:p>
        </w:tc>
        <w:tc>
          <w:tcPr/>
          <w:p>
            <w:pPr>
              <w:pStyle w:val="Compact"/>
              <w:jc w:val="left"/>
            </w:pPr>
            <w:r>
              <w:t xml:space="preserve">2/25/13/1</w:t>
            </w:r>
          </w:p>
        </w:tc>
        <w:tc>
          <w:tcPr/>
          <w:p>
            <w:pPr>
              <w:pStyle w:val="Compact"/>
              <w:jc w:val="left"/>
            </w:pPr>
            <w:r>
              <w:t xml:space="preserve">0.074 (0.021–0.234)</w:t>
            </w:r>
          </w:p>
        </w:tc>
        <w:tc>
          <w:tcPr/>
          <w:p>
            <w:pPr>
              <w:pStyle w:val="Compact"/>
              <w:jc w:val="left"/>
            </w:pPr>
            <w:r>
              <w:t xml:space="preserve">0.929 (0.685–0.987)</w:t>
            </w:r>
          </w:p>
        </w:tc>
        <w:tc>
          <w:tcPr/>
          <w:p>
            <w:pPr>
              <w:pStyle w:val="Compact"/>
              <w:jc w:val="left"/>
            </w:pPr>
            <w:r>
              <w:t xml:space="preserve">0.133 (0.000–0.303)</w:t>
            </w:r>
          </w:p>
        </w:tc>
        <w:tc>
          <w:tcPr/>
          <w:p>
            <w:pPr>
              <w:pStyle w:val="Compact"/>
              <w:jc w:val="left"/>
            </w:pPr>
            <w:r>
              <w:t xml:space="preserve">0.005 (-0.314–0.237)</w:t>
            </w:r>
          </w:p>
        </w:tc>
        <w:tc>
          <w:tcPr/>
          <w:p>
            <w:pPr>
              <w:pStyle w:val="Compact"/>
              <w:jc w:val="left"/>
            </w:pPr>
            <w:r>
              <w:t xml:space="preserve">0.503 (0.417–0.588)</w:t>
            </w:r>
          </w:p>
        </w:tc>
      </w:tr>
      <w:tr>
        <w:tc>
          <w:tcPr/>
          <w:p>
            <w:pPr>
              <w:pStyle w:val="Compact"/>
              <w:jc w:val="left"/>
            </w:pPr>
            <w:r>
              <w:t xml:space="preserve">Logistic regression + TF-IDF</w:t>
            </w:r>
          </w:p>
        </w:tc>
        <w:tc>
          <w:tcPr/>
          <w:p>
            <w:pPr>
              <w:pStyle w:val="Compact"/>
              <w:jc w:val="left"/>
            </w:pPr>
            <w:r>
              <w:t xml:space="preserve">27/0/2/12</w:t>
            </w:r>
          </w:p>
        </w:tc>
        <w:tc>
          <w:tcPr/>
          <w:p>
            <w:pPr>
              <w:pStyle w:val="Compact"/>
              <w:jc w:val="left"/>
            </w:pPr>
            <w:r>
              <w:t xml:space="preserve">1.000 (0.875–1.000)</w:t>
            </w:r>
          </w:p>
        </w:tc>
        <w:tc>
          <w:tcPr/>
          <w:p>
            <w:pPr>
              <w:pStyle w:val="Compact"/>
              <w:jc w:val="left"/>
            </w:pPr>
            <w:r>
              <w:t xml:space="preserve">0.143 (0.040–0.399)</w:t>
            </w:r>
          </w:p>
        </w:tc>
        <w:tc>
          <w:tcPr/>
          <w:p>
            <w:pPr>
              <w:pStyle w:val="Compact"/>
              <w:jc w:val="left"/>
            </w:pPr>
            <w:r>
              <w:t xml:space="preserve">0.818 (0.702–0.904)</w:t>
            </w:r>
          </w:p>
        </w:tc>
        <w:tc>
          <w:tcPr/>
          <w:p>
            <w:pPr>
              <w:pStyle w:val="Compact"/>
              <w:jc w:val="left"/>
            </w:pPr>
            <w:r>
              <w:t xml:space="preserve">0.314 (0.000–0.518)</w:t>
            </w:r>
          </w:p>
        </w:tc>
        <w:tc>
          <w:tcPr/>
          <w:p>
            <w:pPr>
              <w:pStyle w:val="Compact"/>
              <w:jc w:val="left"/>
            </w:pPr>
            <w:r>
              <w:t xml:space="preserve">1.000 (1.000–1.000)</w:t>
            </w:r>
          </w:p>
        </w:tc>
      </w:tr>
      <w:tr>
        <w:tc>
          <w:tcPr/>
          <w:p>
            <w:pPr>
              <w:pStyle w:val="Compact"/>
              <w:jc w:val="left"/>
            </w:pPr>
            <w:r>
              <w:t xml:space="preserve">XGBoost + sentence-BERT</w:t>
            </w:r>
          </w:p>
        </w:tc>
        <w:tc>
          <w:tcPr/>
          <w:p>
            <w:pPr>
              <w:pStyle w:val="Compact"/>
              <w:jc w:val="left"/>
            </w:pPr>
            <w:r>
              <w:t xml:space="preserve">26/1/11/3</w:t>
            </w:r>
          </w:p>
        </w:tc>
        <w:tc>
          <w:tcPr/>
          <w:p>
            <w:pPr>
              <w:pStyle w:val="Compact"/>
              <w:jc w:val="left"/>
            </w:pPr>
            <w:r>
              <w:t xml:space="preserve">0.963 (0.817–0.993)</w:t>
            </w:r>
          </w:p>
        </w:tc>
        <w:tc>
          <w:tcPr/>
          <w:p>
            <w:pPr>
              <w:pStyle w:val="Compact"/>
              <w:jc w:val="left"/>
            </w:pPr>
            <w:r>
              <w:t xml:space="preserve">0.786 (0.524–0.924)</w:t>
            </w:r>
          </w:p>
        </w:tc>
        <w:tc>
          <w:tcPr/>
          <w:p>
            <w:pPr>
              <w:pStyle w:val="Compact"/>
              <w:jc w:val="left"/>
            </w:pPr>
            <w:r>
              <w:t xml:space="preserve">0.929 (0.846–0.984)</w:t>
            </w:r>
          </w:p>
        </w:tc>
        <w:tc>
          <w:tcPr/>
          <w:p>
            <w:pPr>
              <w:pStyle w:val="Compact"/>
              <w:jc w:val="left"/>
            </w:pPr>
            <w:r>
              <w:t xml:space="preserve">0.780 (0.553–0.949)</w:t>
            </w:r>
          </w:p>
        </w:tc>
        <w:tc>
          <w:tcPr/>
          <w:p>
            <w:pPr>
              <w:pStyle w:val="Compact"/>
              <w:jc w:val="left"/>
            </w:pPr>
            <w:r>
              <w:t xml:space="preserve">0.979 (0.943–1.000)</w:t>
            </w:r>
          </w:p>
        </w:tc>
      </w:tr>
      <w:tr>
        <w:tc>
          <w:tcPr/>
          <w:p>
            <w:pPr>
              <w:pStyle w:val="Compact"/>
              <w:jc w:val="left"/>
            </w:pPr>
            <w:r>
              <w:t xml:space="preserve">Claude Opus 4.7 (RAG)</w:t>
            </w:r>
          </w:p>
        </w:tc>
        <w:tc>
          <w:tcPr/>
          <w:p>
            <w:pPr>
              <w:pStyle w:val="Compact"/>
              <w:jc w:val="left"/>
            </w:pPr>
            <w:r>
              <w:t xml:space="preserve">27/0/8/6</w:t>
            </w:r>
          </w:p>
        </w:tc>
        <w:tc>
          <w:tcPr/>
          <w:p>
            <w:pPr>
              <w:pStyle w:val="Compact"/>
              <w:jc w:val="left"/>
            </w:pPr>
            <w:r>
              <w:t xml:space="preserve">1.000 (0.875–1.000)</w:t>
            </w:r>
          </w:p>
        </w:tc>
        <w:tc>
          <w:tcPr/>
          <w:p>
            <w:pPr>
              <w:pStyle w:val="Compact"/>
              <w:jc w:val="left"/>
            </w:pPr>
            <w:r>
              <w:t xml:space="preserve">0.571 (0.326–0.786)</w:t>
            </w:r>
          </w:p>
        </w:tc>
        <w:tc>
          <w:tcPr/>
          <w:p>
            <w:pPr>
              <w:pStyle w:val="Compact"/>
              <w:jc w:val="left"/>
            </w:pPr>
            <w:r>
              <w:t xml:space="preserve">0.900 (0.808–0.969)</w:t>
            </w:r>
          </w:p>
        </w:tc>
        <w:tc>
          <w:tcPr/>
          <w:p>
            <w:pPr>
              <w:pStyle w:val="Compact"/>
              <w:jc w:val="left"/>
            </w:pPr>
            <w:r>
              <w:t xml:space="preserve">0.684 (0.466–0.883)</w:t>
            </w:r>
          </w:p>
        </w:tc>
        <w:tc>
          <w:tcPr/>
          <w:p>
            <w:pPr>
              <w:pStyle w:val="Compact"/>
              <w:jc w:val="left"/>
            </w:pPr>
            <w:r>
              <w:t xml:space="preserve">N/A*</w:t>
            </w:r>
          </w:p>
        </w:tc>
      </w:tr>
      <w:tr>
        <w:tc>
          <w:tcPr/>
          <w:p>
            <w:pPr>
              <w:pStyle w:val="Compact"/>
              <w:jc w:val="left"/>
            </w:pPr>
            <w:r>
              <w:t xml:space="preserve">Gemini 3.1 Pro (RAG)</w:t>
            </w:r>
          </w:p>
        </w:tc>
        <w:tc>
          <w:tcPr/>
          <w:p>
            <w:pPr>
              <w:pStyle w:val="Compact"/>
              <w:jc w:val="left"/>
            </w:pPr>
            <w:r>
              <w:t xml:space="preserve">20/7/14/0</w:t>
            </w:r>
          </w:p>
        </w:tc>
        <w:tc>
          <w:tcPr/>
          <w:p>
            <w:pPr>
              <w:pStyle w:val="Compact"/>
              <w:jc w:val="left"/>
            </w:pPr>
            <w:r>
              <w:t xml:space="preserve">0.741 (0.553–0.868)</w:t>
            </w:r>
          </w:p>
        </w:tc>
        <w:tc>
          <w:tcPr/>
          <w:p>
            <w:pPr>
              <w:pStyle w:val="Compact"/>
              <w:jc w:val="left"/>
            </w:pPr>
            <w:r>
              <w:t xml:space="preserve">1.000 (0.785–1.000)</w:t>
            </w:r>
          </w:p>
        </w:tc>
        <w:tc>
          <w:tcPr/>
          <w:p>
            <w:pPr>
              <w:pStyle w:val="Compact"/>
              <w:jc w:val="left"/>
            </w:pPr>
            <w:r>
              <w:t xml:space="preserve">0.851 (0.727–0.943)</w:t>
            </w:r>
          </w:p>
        </w:tc>
        <w:tc>
          <w:tcPr/>
          <w:p>
            <w:pPr>
              <w:pStyle w:val="Compact"/>
              <w:jc w:val="left"/>
            </w:pPr>
            <w:r>
              <w:t xml:space="preserve">0.703 (0.536–0.863)</w:t>
            </w:r>
          </w:p>
        </w:tc>
        <w:tc>
          <w:tcPr/>
          <w:p>
            <w:pPr>
              <w:pStyle w:val="Compact"/>
              <w:jc w:val="left"/>
            </w:pPr>
            <w:r>
              <w:t xml:space="preserve">N/A*</w:t>
            </w:r>
          </w:p>
        </w:tc>
      </w:tr>
      <w:tr>
        <w:tc>
          <w:tcPr/>
          <w:p>
            <w:pPr>
              <w:pStyle w:val="Compact"/>
              <w:jc w:val="left"/>
            </w:pPr>
            <w:r>
              <w:t xml:space="preserve">GPT-5.5 (safety-augmented)</w:t>
            </w:r>
          </w:p>
        </w:tc>
        <w:tc>
          <w:tcPr/>
          <w:p>
            <w:pPr>
              <w:pStyle w:val="Compact"/>
              <w:jc w:val="left"/>
            </w:pPr>
            <w:r>
              <w:t xml:space="preserve">23/4/8/6</w:t>
            </w:r>
          </w:p>
        </w:tc>
        <w:tc>
          <w:tcPr/>
          <w:p>
            <w:pPr>
              <w:pStyle w:val="Compact"/>
              <w:jc w:val="left"/>
            </w:pPr>
            <w:r>
              <w:t xml:space="preserve">0.852 (0.675–0.941)</w:t>
            </w:r>
          </w:p>
        </w:tc>
        <w:tc>
          <w:tcPr/>
          <w:p>
            <w:pPr>
              <w:pStyle w:val="Compact"/>
              <w:jc w:val="left"/>
            </w:pPr>
            <w:r>
              <w:t xml:space="preserve">0.571 (0.326–0.786)</w:t>
            </w:r>
          </w:p>
        </w:tc>
        <w:tc>
          <w:tcPr/>
          <w:p>
            <w:pPr>
              <w:pStyle w:val="Compact"/>
              <w:jc w:val="left"/>
            </w:pPr>
            <w:r>
              <w:t xml:space="preserve">0.821 (0.696–0.918)</w:t>
            </w:r>
          </w:p>
        </w:tc>
        <w:tc>
          <w:tcPr/>
          <w:p>
            <w:pPr>
              <w:pStyle w:val="Compact"/>
              <w:jc w:val="left"/>
            </w:pPr>
            <w:r>
              <w:t xml:space="preserve">0.441 (0.130–0.725)</w:t>
            </w:r>
          </w:p>
        </w:tc>
        <w:tc>
          <w:tcPr/>
          <w:p>
            <w:pPr>
              <w:pStyle w:val="Compact"/>
              <w:jc w:val="left"/>
            </w:pPr>
            <w:r>
              <w:t xml:space="preserve">N/A*</w:t>
            </w:r>
          </w:p>
        </w:tc>
      </w:tr>
      <w:tr>
        <w:tc>
          <w:tcPr/>
          <w:p>
            <w:pPr>
              <w:pStyle w:val="Compact"/>
              <w:jc w:val="left"/>
            </w:pPr>
            <w:r>
              <w:t xml:space="preserve">GPT-5.5 (RAG)</w:t>
            </w:r>
          </w:p>
        </w:tc>
        <w:tc>
          <w:tcPr/>
          <w:p>
            <w:pPr>
              <w:pStyle w:val="Compact"/>
              <w:jc w:val="left"/>
            </w:pPr>
            <w:r>
              <w:t xml:space="preserve">27/0/11/3</w:t>
            </w:r>
          </w:p>
        </w:tc>
        <w:tc>
          <w:tcPr/>
          <w:p>
            <w:pPr>
              <w:pStyle w:val="Compact"/>
              <w:jc w:val="left"/>
            </w:pPr>
            <w:r>
              <w:t xml:space="preserve">1.000 (0.875–1.000)</w:t>
            </w:r>
          </w:p>
        </w:tc>
        <w:tc>
          <w:tcPr/>
          <w:p>
            <w:pPr>
              <w:pStyle w:val="Compact"/>
              <w:jc w:val="left"/>
            </w:pPr>
            <w:r>
              <w:t xml:space="preserve">0.786 (0.524–0.924)</w:t>
            </w:r>
          </w:p>
        </w:tc>
        <w:tc>
          <w:tcPr/>
          <w:p>
            <w:pPr>
              <w:pStyle w:val="Compact"/>
              <w:jc w:val="left"/>
            </w:pPr>
            <w:r>
              <w:t xml:space="preserve">0.947 (0.875–1.000)</w:t>
            </w:r>
          </w:p>
        </w:tc>
        <w:tc>
          <w:tcPr/>
          <w:p>
            <w:pPr>
              <w:pStyle w:val="Compact"/>
              <w:jc w:val="left"/>
            </w:pPr>
            <w:r>
              <w:t xml:space="preserve">0.841 (0.666–1.000)</w:t>
            </w:r>
          </w:p>
        </w:tc>
        <w:tc>
          <w:tcPr/>
          <w:p>
            <w:pPr>
              <w:pStyle w:val="Compact"/>
              <w:jc w:val="left"/>
            </w:pPr>
            <w:r>
              <w:t xml:space="preserve">N/A*</w:t>
            </w:r>
          </w:p>
        </w:tc>
      </w:tr>
    </w:tbl>
    <w:p>
      <w:pPr>
        <w:pStyle w:val="BodyText"/>
      </w:pPr>
      <w:r>
        <w:rPr>
          <w:i/>
          <w:iCs/>
        </w:rPr>
        <w:t xml:space="preserve">N/A*: AUROC is undefined for this architecture because the configured inference API returns a discrete hazard flag in a structured JSON output rather than a continuous probability scalar, leaving no score to sweep across thresholds. This affects the three frontier large language model configurations under both the safety-augmented and retrieval-augmented prompts and the ActionHead action recommender, which emits a discrete action class rather than a calibrated hazard probability.</w:t>
      </w:r>
    </w:p>
    <w:p>
      <w:pPr>
        <w:pStyle w:val="BodyText"/>
      </w:pPr>
      <w:r>
        <w:t xml:space="preserve">Caption: Per-architecture sensitivity, specificity, PPV, NPV, F1, MCC, AUROC (where calibrated probabilities are available), and false-negative counts on the 41-case physician-scripted comparison set (27 hazards / 14 benigns). 95% confidence intervals: Wilson score method for proportions; parametric bootstrap (10,000 iterations) for F1 and MCC. AUROC is reported as N/A for the frontier large language model rows (Claude Opus 4.7 safety-augmented, Gemini 3.1 Pro safety-augmented, Claude Opus 4.7 with retrieval-augmented generation) because the configured API requests return a structured JSON object with a discrete hazard flag rather than a calibrated probability scalar, leaving no continuous score to sweep across thresholds. The local supervised architectures (rule-based guardrails, constellation classifier, XGBoost with sentence-BERT embeddings, logistic regression with TF-IDF, the Conservative Q-Learning controller variants, and ActionHead) emit calibrated probabilities and report AUROC accordingly.</w:t>
      </w:r>
    </w:p>
    <w:bookmarkEnd w:id="19"/>
    <w:bookmarkStart w:id="20" w:name="X118c964a199d115b56c6a8c32a868142f49b0f6"/>
    <w:p>
      <w:pPr>
        <w:pStyle w:val="Heading3"/>
      </w:pPr>
      <w:r>
        <w:t xml:space="preserve">Table S2. Sensitivity change from physician-scripted to real-world test sets with parametric bootstrap confidence intervals.</w:t>
      </w:r>
    </w:p>
    <w:tbl>
      <w:tblPr>
        <w:tblStyle w:val="Table"/>
        <w:tblW w:type="pct" w:w="5000"/>
        <w:tblLayout w:type="fixed"/>
        <w:tblLook w:firstRow="1" w:lastRow="0" w:firstColumn="0" w:lastColumn="0" w:noHBand="0" w:noVBand="0" w:val="0020"/>
      </w:tblPr>
      <w:tblGrid>
        <w:gridCol w:w="1967"/>
        <w:gridCol w:w="1869"/>
        <w:gridCol w:w="1721"/>
        <w:gridCol w:w="1180"/>
        <w:gridCol w:w="1180"/>
      </w:tblGrid>
      <w:tr>
        <w:trPr>
          <w:tblHeader w:val="on"/>
        </w:trPr>
        <w:tc>
          <w:tcPr/>
          <w:p>
            <w:pPr>
              <w:pStyle w:val="Compact"/>
              <w:jc w:val="left"/>
            </w:pPr>
            <w:r>
              <w:t xml:space="preserve">Architecture</w:t>
            </w:r>
          </w:p>
        </w:tc>
        <w:tc>
          <w:tcPr/>
          <w:p>
            <w:pPr>
              <w:pStyle w:val="Compact"/>
              <w:jc w:val="left"/>
            </w:pPr>
            <w:r>
              <w:t xml:space="preserve">Physician-set sensitivity (95% CI)</w:t>
            </w:r>
          </w:p>
        </w:tc>
        <w:tc>
          <w:tcPr/>
          <w:p>
            <w:pPr>
              <w:pStyle w:val="Compact"/>
              <w:jc w:val="left"/>
            </w:pPr>
            <w:r>
              <w:t xml:space="preserve">Real-world sensitivity (95% CI)</w:t>
            </w:r>
          </w:p>
        </w:tc>
        <w:tc>
          <w:tcPr/>
          <w:p>
            <w:pPr>
              <w:pStyle w:val="Compact"/>
              <w:jc w:val="left"/>
            </w:pPr>
            <w:r>
              <w:t xml:space="preserve">Δ Sens, pp (95% CI)</w:t>
            </w:r>
          </w:p>
        </w:tc>
        <w:tc>
          <w:tcPr/>
          <w:p>
            <w:pPr>
              <w:pStyle w:val="Compact"/>
              <w:jc w:val="left"/>
            </w:pPr>
            <w:r>
              <w:t xml:space="preserve">Δ Spec, pp (95% CI)</w:t>
            </w:r>
          </w:p>
        </w:tc>
      </w:tr>
      <w:tr>
        <w:tc>
          <w:tcPr/>
          <w:p>
            <w:pPr>
              <w:pStyle w:val="Compact"/>
              <w:jc w:val="left"/>
            </w:pPr>
            <w:r>
              <w:t xml:space="preserve">ActionHead (action recommender)</w:t>
            </w:r>
          </w:p>
        </w:tc>
        <w:tc>
          <w:tcPr/>
          <w:p>
            <w:pPr>
              <w:pStyle w:val="Compact"/>
              <w:jc w:val="left"/>
            </w:pPr>
            <w:r>
              <w:t xml:space="preserve">0.407 (0.245–0.593)</w:t>
            </w:r>
          </w:p>
        </w:tc>
        <w:tc>
          <w:tcPr/>
          <w:p>
            <w:pPr>
              <w:pStyle w:val="Compact"/>
              <w:jc w:val="left"/>
            </w:pPr>
            <w:r>
              <w:t xml:space="preserve">0.424 (0.351–0.501)</w:t>
            </w:r>
          </w:p>
        </w:tc>
        <w:tc>
          <w:tcPr/>
          <w:p>
            <w:pPr>
              <w:pStyle w:val="Compact"/>
              <w:jc w:val="left"/>
            </w:pPr>
            <w:r>
              <w:t xml:space="preserve">+1.7 (-18.7 to +21.4)</w:t>
            </w:r>
          </w:p>
        </w:tc>
        <w:tc>
          <w:tcPr/>
          <w:p>
            <w:pPr>
              <w:pStyle w:val="Compact"/>
              <w:jc w:val="left"/>
            </w:pPr>
            <w:r>
              <w:t xml:space="preserve">+8.8 (-13.2 to +31.9)</w:t>
            </w:r>
          </w:p>
        </w:tc>
      </w:tr>
      <w:tr>
        <w:tc>
          <w:tcPr/>
          <w:p>
            <w:pPr>
              <w:pStyle w:val="Compact"/>
              <w:jc w:val="left"/>
            </w:pPr>
            <w:r>
              <w:t xml:space="preserve">Claude Opus 4.7 (safety-augmented)</w:t>
            </w:r>
          </w:p>
        </w:tc>
        <w:tc>
          <w:tcPr/>
          <w:p>
            <w:pPr>
              <w:pStyle w:val="Compact"/>
              <w:jc w:val="left"/>
            </w:pPr>
            <w:r>
              <w:t xml:space="preserve">0.815 (0.633–0.918)</w:t>
            </w:r>
          </w:p>
        </w:tc>
        <w:tc>
          <w:tcPr/>
          <w:p>
            <w:pPr>
              <w:pStyle w:val="Compact"/>
              <w:jc w:val="left"/>
            </w:pPr>
            <w:r>
              <w:t xml:space="preserve">0.297 (0.233–0.371)</w:t>
            </w:r>
          </w:p>
        </w:tc>
        <w:tc>
          <w:tcPr/>
          <w:p>
            <w:pPr>
              <w:pStyle w:val="Compact"/>
              <w:jc w:val="left"/>
            </w:pPr>
            <w:r>
              <w:t xml:space="preserve">-51.8 (-67.1 to -34.5)</w:t>
            </w:r>
          </w:p>
        </w:tc>
        <w:tc>
          <w:tcPr/>
          <w:p>
            <w:pPr>
              <w:pStyle w:val="Compact"/>
              <w:jc w:val="left"/>
            </w:pPr>
            <w:r>
              <w:t xml:space="preserve">+29.9 (+6.9 to +58.0)</w:t>
            </w:r>
          </w:p>
        </w:tc>
      </w:tr>
      <w:tr>
        <w:tc>
          <w:tcPr/>
          <w:p>
            <w:pPr>
              <w:pStyle w:val="Compact"/>
              <w:jc w:val="left"/>
            </w:pPr>
            <w:r>
              <w:t xml:space="preserve">Constellation architecture</w:t>
            </w:r>
          </w:p>
        </w:tc>
        <w:tc>
          <w:tcPr/>
          <w:p>
            <w:pPr>
              <w:pStyle w:val="Compact"/>
              <w:jc w:val="left"/>
            </w:pPr>
            <w:r>
              <w:t xml:space="preserve">0.852 (0.675–0.941)</w:t>
            </w:r>
          </w:p>
        </w:tc>
        <w:tc>
          <w:tcPr/>
          <w:p>
            <w:pPr>
              <w:pStyle w:val="Compact"/>
              <w:jc w:val="left"/>
            </w:pPr>
            <w:r>
              <w:t xml:space="preserve">0.067 (0.038–0.115)</w:t>
            </w:r>
          </w:p>
        </w:tc>
        <w:tc>
          <w:tcPr/>
          <w:p>
            <w:pPr>
              <w:pStyle w:val="Compact"/>
              <w:jc w:val="left"/>
            </w:pPr>
            <w:r>
              <w:t xml:space="preserve">-78.5 (-90.8 to -63.7)</w:t>
            </w:r>
          </w:p>
        </w:tc>
        <w:tc>
          <w:tcPr/>
          <w:p>
            <w:pPr>
              <w:pStyle w:val="Compact"/>
              <w:jc w:val="left"/>
            </w:pPr>
            <w:r>
              <w:t xml:space="preserve">+40.1 (+12.2 to +68.3)</w:t>
            </w:r>
          </w:p>
        </w:tc>
      </w:tr>
      <w:tr>
        <w:tc>
          <w:tcPr/>
          <w:p>
            <w:pPr>
              <w:pStyle w:val="Compact"/>
              <w:jc w:val="left"/>
            </w:pPr>
            <w:r>
              <w:t xml:space="preserve">CQL controller (reward-optimized)</w:t>
            </w:r>
          </w:p>
        </w:tc>
        <w:tc>
          <w:tcPr/>
          <w:p>
            <w:pPr>
              <w:pStyle w:val="Compact"/>
              <w:jc w:val="left"/>
            </w:pPr>
            <w:r>
              <w:t xml:space="preserve">1.000 (0.875–1.000)</w:t>
            </w:r>
          </w:p>
        </w:tc>
        <w:tc>
          <w:tcPr/>
          <w:p>
            <w:pPr>
              <w:pStyle w:val="Compact"/>
              <w:jc w:val="left"/>
            </w:pPr>
            <w:r>
              <w:t xml:space="preserve">0.933 (0.885–0.962)</w:t>
            </w:r>
          </w:p>
        </w:tc>
        <w:tc>
          <w:tcPr/>
          <w:p>
            <w:pPr>
              <w:pStyle w:val="Compact"/>
              <w:jc w:val="left"/>
            </w:pPr>
            <w:r>
              <w:t xml:space="preserve">-6.7 (-10.9 to -3.0)</w:t>
            </w:r>
          </w:p>
        </w:tc>
        <w:tc>
          <w:tcPr/>
          <w:p>
            <w:pPr>
              <w:pStyle w:val="Compact"/>
              <w:jc w:val="left"/>
            </w:pPr>
            <w:r>
              <w:t xml:space="preserve">-26.9 (-54.6 to -4.8)</w:t>
            </w:r>
          </w:p>
        </w:tc>
      </w:tr>
      <w:tr>
        <w:tc>
          <w:tcPr/>
          <w:p>
            <w:pPr>
              <w:pStyle w:val="Compact"/>
              <w:jc w:val="left"/>
            </w:pPr>
            <w:r>
              <w:t xml:space="preserve">CQL controller (sensitivity-optimized)</w:t>
            </w:r>
          </w:p>
        </w:tc>
        <w:tc>
          <w:tcPr/>
          <w:p>
            <w:pPr>
              <w:pStyle w:val="Compact"/>
              <w:jc w:val="left"/>
            </w:pPr>
            <w:r>
              <w:t xml:space="preserve">0.741 (0.553–0.868)</w:t>
            </w:r>
          </w:p>
        </w:tc>
        <w:tc>
          <w:tcPr/>
          <w:p>
            <w:pPr>
              <w:pStyle w:val="Compact"/>
              <w:jc w:val="left"/>
            </w:pPr>
            <w:r>
              <w:t xml:space="preserve">0.024 (0.009–0.061)</w:t>
            </w:r>
          </w:p>
        </w:tc>
        <w:tc>
          <w:tcPr/>
          <w:p>
            <w:pPr>
              <w:pStyle w:val="Compact"/>
              <w:jc w:val="left"/>
            </w:pPr>
            <w:r>
              <w:t xml:space="preserve">-71.7 (-87.1 to -54.3)</w:t>
            </w:r>
          </w:p>
        </w:tc>
        <w:tc>
          <w:tcPr/>
          <w:p>
            <w:pPr>
              <w:pStyle w:val="Compact"/>
              <w:jc w:val="left"/>
            </w:pPr>
            <w:r>
              <w:t xml:space="preserve">+35.4 (+13.8 to +63.8)</w:t>
            </w:r>
          </w:p>
        </w:tc>
      </w:tr>
      <w:tr>
        <w:tc>
          <w:tcPr/>
          <w:p>
            <w:pPr>
              <w:pStyle w:val="Compact"/>
              <w:jc w:val="left"/>
            </w:pPr>
            <w:r>
              <w:t xml:space="preserve">Gemini 3.1 Pro (safety-augmented)</w:t>
            </w:r>
          </w:p>
        </w:tc>
        <w:tc>
          <w:tcPr/>
          <w:p>
            <w:pPr>
              <w:pStyle w:val="Compact"/>
              <w:jc w:val="left"/>
            </w:pPr>
            <w:r>
              <w:t xml:space="preserve">0.296 (0.159–0.485)</w:t>
            </w:r>
          </w:p>
        </w:tc>
        <w:tc>
          <w:tcPr/>
          <w:p>
            <w:pPr>
              <w:pStyle w:val="Compact"/>
              <w:jc w:val="left"/>
            </w:pPr>
            <w:r>
              <w:t xml:space="preserve">0.018 (0.006–0.052)</w:t>
            </w:r>
          </w:p>
        </w:tc>
        <w:tc>
          <w:tcPr/>
          <w:p>
            <w:pPr>
              <w:pStyle w:val="Compact"/>
              <w:jc w:val="left"/>
            </w:pPr>
            <w:r>
              <w:t xml:space="preserve">-27.8 (-45.7 to -11.8)</w:t>
            </w:r>
          </w:p>
        </w:tc>
        <w:tc>
          <w:tcPr/>
          <w:p>
            <w:pPr>
              <w:pStyle w:val="Compact"/>
              <w:jc w:val="left"/>
            </w:pPr>
            <w:r>
              <w:t xml:space="preserve">+13.7 (-0.7 to +35.2)</w:t>
            </w:r>
          </w:p>
        </w:tc>
      </w:tr>
      <w:tr>
        <w:tc>
          <w:tcPr/>
          <w:p>
            <w:pPr>
              <w:pStyle w:val="Compact"/>
              <w:jc w:val="left"/>
            </w:pPr>
            <w:r>
              <w:t xml:space="preserve">Rule-based guardrails</w:t>
            </w:r>
          </w:p>
        </w:tc>
        <w:tc>
          <w:tcPr/>
          <w:p>
            <w:pPr>
              <w:pStyle w:val="Compact"/>
              <w:jc w:val="left"/>
            </w:pPr>
            <w:r>
              <w:t xml:space="preserve">0.074 (0.021–0.234)</w:t>
            </w:r>
          </w:p>
        </w:tc>
        <w:tc>
          <w:tcPr/>
          <w:p>
            <w:pPr>
              <w:pStyle w:val="Compact"/>
              <w:jc w:val="left"/>
            </w:pPr>
            <w:r>
              <w:t xml:space="preserve">0.061 (0.033–0.108)</w:t>
            </w:r>
          </w:p>
        </w:tc>
        <w:tc>
          <w:tcPr/>
          <w:p>
            <w:pPr>
              <w:pStyle w:val="Compact"/>
              <w:jc w:val="left"/>
            </w:pPr>
            <w:r>
              <w:t xml:space="preserve">-1.4 (-13.1 to +7.3)</w:t>
            </w:r>
          </w:p>
        </w:tc>
        <w:tc>
          <w:tcPr/>
          <w:p>
            <w:pPr>
              <w:pStyle w:val="Compact"/>
              <w:jc w:val="left"/>
            </w:pPr>
            <w:r>
              <w:t xml:space="preserve">+5.4 (-2.2 to +20.0)</w:t>
            </w:r>
          </w:p>
        </w:tc>
      </w:tr>
      <w:tr>
        <w:tc>
          <w:tcPr/>
          <w:p>
            <w:pPr>
              <w:pStyle w:val="Compact"/>
              <w:jc w:val="left"/>
            </w:pPr>
            <w:r>
              <w:t xml:space="preserve">Logistic regression + TF-IDF</w:t>
            </w:r>
          </w:p>
        </w:tc>
        <w:tc>
          <w:tcPr/>
          <w:p>
            <w:pPr>
              <w:pStyle w:val="Compact"/>
              <w:jc w:val="left"/>
            </w:pPr>
            <w:r>
              <w:t xml:space="preserve">1.000 (0.875–1.000)</w:t>
            </w:r>
          </w:p>
        </w:tc>
        <w:tc>
          <w:tcPr/>
          <w:p>
            <w:pPr>
              <w:pStyle w:val="Compact"/>
              <w:jc w:val="left"/>
            </w:pPr>
            <w:r>
              <w:t xml:space="preserve">0.970 (0.931–0.987)</w:t>
            </w:r>
          </w:p>
        </w:tc>
        <w:tc>
          <w:tcPr/>
          <w:p>
            <w:pPr>
              <w:pStyle w:val="Compact"/>
              <w:jc w:val="left"/>
            </w:pPr>
            <w:r>
              <w:t xml:space="preserve">-3.0 (-6.1 to -0.6)</w:t>
            </w:r>
          </w:p>
        </w:tc>
        <w:tc>
          <w:tcPr/>
          <w:p>
            <w:pPr>
              <w:pStyle w:val="Compact"/>
              <w:jc w:val="left"/>
            </w:pPr>
            <w:r>
              <w:t xml:space="preserve">-5.0 (-26.3 to +9.8)</w:t>
            </w:r>
          </w:p>
        </w:tc>
      </w:tr>
      <w:tr>
        <w:tc>
          <w:tcPr/>
          <w:p>
            <w:pPr>
              <w:pStyle w:val="Compact"/>
              <w:jc w:val="left"/>
            </w:pPr>
            <w:r>
              <w:t xml:space="preserve">XGBoost + sentence-BERT</w:t>
            </w:r>
          </w:p>
        </w:tc>
        <w:tc>
          <w:tcPr/>
          <w:p>
            <w:pPr>
              <w:pStyle w:val="Compact"/>
              <w:jc w:val="left"/>
            </w:pPr>
            <w:r>
              <w:t xml:space="preserve">0.963 (0.817–0.993)</w:t>
            </w:r>
          </w:p>
        </w:tc>
        <w:tc>
          <w:tcPr/>
          <w:p>
            <w:pPr>
              <w:pStyle w:val="Compact"/>
              <w:jc w:val="left"/>
            </w:pPr>
            <w:r>
              <w:t xml:space="preserve">0.424 (0.351–0.501)</w:t>
            </w:r>
          </w:p>
        </w:tc>
        <w:tc>
          <w:tcPr/>
          <w:p>
            <w:pPr>
              <w:pStyle w:val="Compact"/>
              <w:jc w:val="left"/>
            </w:pPr>
            <w:r>
              <w:t xml:space="preserve">-53.9 (-63.0 to -42.8)</w:t>
            </w:r>
          </w:p>
        </w:tc>
        <w:tc>
          <w:tcPr/>
          <w:p>
            <w:pPr>
              <w:pStyle w:val="Compact"/>
              <w:jc w:val="left"/>
            </w:pPr>
            <w:r>
              <w:t xml:space="preserve">-6.2 (-27.3 to +16.1)</w:t>
            </w:r>
          </w:p>
        </w:tc>
      </w:tr>
      <w:tr>
        <w:tc>
          <w:tcPr/>
          <w:p>
            <w:pPr>
              <w:pStyle w:val="Compact"/>
              <w:jc w:val="left"/>
            </w:pPr>
            <w:r>
              <w:t xml:space="preserve">Claude Opus 4.7 (RAG)</w:t>
            </w:r>
          </w:p>
        </w:tc>
        <w:tc>
          <w:tcPr/>
          <w:p>
            <w:pPr>
              <w:pStyle w:val="Compact"/>
              <w:jc w:val="left"/>
            </w:pPr>
            <w:r>
              <w:t xml:space="preserve">1.000 (0.875–1.000)</w:t>
            </w:r>
          </w:p>
        </w:tc>
        <w:tc>
          <w:tcPr/>
          <w:p>
            <w:pPr>
              <w:pStyle w:val="Compact"/>
              <w:jc w:val="left"/>
            </w:pPr>
            <w:r>
              <w:t xml:space="preserve">0.218 (0.162–0.287)</w:t>
            </w:r>
          </w:p>
        </w:tc>
        <w:tc>
          <w:tcPr/>
          <w:p>
            <w:pPr>
              <w:pStyle w:val="Compact"/>
              <w:jc w:val="left"/>
            </w:pPr>
            <w:r>
              <w:t xml:space="preserve">-78.2 (-84.2 to -71.5)</w:t>
            </w:r>
          </w:p>
        </w:tc>
        <w:tc>
          <w:tcPr/>
          <w:p>
            <w:pPr>
              <w:pStyle w:val="Compact"/>
              <w:jc w:val="left"/>
            </w:pPr>
            <w:r>
              <w:t xml:space="preserve">+34.6 (+11.3 to +62.8)</w:t>
            </w:r>
          </w:p>
        </w:tc>
      </w:tr>
      <w:tr>
        <w:tc>
          <w:tcPr/>
          <w:p>
            <w:pPr>
              <w:pStyle w:val="Compact"/>
              <w:jc w:val="left"/>
            </w:pPr>
            <w:r>
              <w:t xml:space="preserve">Gemini 3.1 Pro (RAG)</w:t>
            </w:r>
          </w:p>
        </w:tc>
        <w:tc>
          <w:tcPr/>
          <w:p>
            <w:pPr>
              <w:pStyle w:val="Compact"/>
              <w:jc w:val="left"/>
            </w:pPr>
            <w:r>
              <w:t xml:space="preserve">0.741 (0.553–0.868)</w:t>
            </w:r>
          </w:p>
        </w:tc>
        <w:tc>
          <w:tcPr/>
          <w:p>
            <w:pPr>
              <w:pStyle w:val="Compact"/>
              <w:jc w:val="left"/>
            </w:pPr>
            <w:r>
              <w:t xml:space="preserve">0.024 (0.009–0.061)</w:t>
            </w:r>
          </w:p>
        </w:tc>
        <w:tc>
          <w:tcPr/>
          <w:p>
            <w:pPr>
              <w:pStyle w:val="Compact"/>
              <w:jc w:val="left"/>
            </w:pPr>
            <w:r>
              <w:t xml:space="preserve">-71.7 (-87.1 to -54.3)</w:t>
            </w:r>
          </w:p>
        </w:tc>
        <w:tc>
          <w:tcPr/>
          <w:p>
            <w:pPr>
              <w:pStyle w:val="Compact"/>
              <w:jc w:val="left"/>
            </w:pPr>
            <w:r>
              <w:t xml:space="preserve">-2.0 (-2.7 to -1.4)</w:t>
            </w:r>
          </w:p>
        </w:tc>
      </w:tr>
      <w:tr>
        <w:tc>
          <w:tcPr/>
          <w:p>
            <w:pPr>
              <w:pStyle w:val="Compact"/>
              <w:jc w:val="left"/>
            </w:pPr>
            <w:r>
              <w:t xml:space="preserve">GPT-5.5 (safety-augmented)</w:t>
            </w:r>
          </w:p>
        </w:tc>
        <w:tc>
          <w:tcPr/>
          <w:p>
            <w:pPr>
              <w:pStyle w:val="Compact"/>
              <w:jc w:val="left"/>
            </w:pPr>
            <w:r>
              <w:t xml:space="preserve">0.852 (0.675–0.941)</w:t>
            </w:r>
          </w:p>
        </w:tc>
        <w:tc>
          <w:tcPr/>
          <w:p>
            <w:pPr>
              <w:pStyle w:val="Compact"/>
              <w:jc w:val="left"/>
            </w:pPr>
            <w:r>
              <w:t xml:space="preserve">0.321 (0.255–0.396)</w:t>
            </w:r>
          </w:p>
        </w:tc>
        <w:tc>
          <w:tcPr/>
          <w:p>
            <w:pPr>
              <w:pStyle w:val="Compact"/>
              <w:jc w:val="left"/>
            </w:pPr>
            <w:r>
              <w:t xml:space="preserve">-53.1 (-66.7 to -37.1)</w:t>
            </w:r>
          </w:p>
        </w:tc>
        <w:tc>
          <w:tcPr/>
          <w:p>
            <w:pPr>
              <w:pStyle w:val="Compact"/>
              <w:jc w:val="left"/>
            </w:pPr>
            <w:r>
              <w:t xml:space="preserve">+29.1 (+5.8 to +57.0)</w:t>
            </w:r>
          </w:p>
        </w:tc>
      </w:tr>
      <w:tr>
        <w:tc>
          <w:tcPr/>
          <w:p>
            <w:pPr>
              <w:pStyle w:val="Compact"/>
              <w:jc w:val="left"/>
            </w:pPr>
            <w:r>
              <w:t xml:space="preserve">GPT-5.5 (RAG)</w:t>
            </w:r>
          </w:p>
        </w:tc>
        <w:tc>
          <w:tcPr/>
          <w:p>
            <w:pPr>
              <w:pStyle w:val="Compact"/>
              <w:jc w:val="left"/>
            </w:pPr>
            <w:r>
              <w:t xml:space="preserve">1.000 (0.875–1.000)</w:t>
            </w:r>
          </w:p>
        </w:tc>
        <w:tc>
          <w:tcPr/>
          <w:p>
            <w:pPr>
              <w:pStyle w:val="Compact"/>
              <w:jc w:val="left"/>
            </w:pPr>
            <w:r>
              <w:t xml:space="preserve">0.261 (0.200–0.332)</w:t>
            </w:r>
          </w:p>
        </w:tc>
        <w:tc>
          <w:tcPr/>
          <w:p>
            <w:pPr>
              <w:pStyle w:val="Compact"/>
              <w:jc w:val="left"/>
            </w:pPr>
            <w:r>
              <w:t xml:space="preserve">-73.9 (-80.6 to -67.3)</w:t>
            </w:r>
          </w:p>
        </w:tc>
        <w:tc>
          <w:tcPr/>
          <w:p>
            <w:pPr>
              <w:pStyle w:val="Compact"/>
              <w:jc w:val="left"/>
            </w:pPr>
            <w:r>
              <w:t xml:space="preserve">+10.3 (-10.8 to +32.4)</w:t>
            </w:r>
          </w:p>
        </w:tc>
      </w:tr>
    </w:tbl>
    <w:p>
      <w:pPr>
        <w:pStyle w:val="BodyText"/>
      </w:pPr>
      <w:r>
        <w:t xml:space="preserve">Caption: For each architecture, sensitivity attained on the physician-scripted 41-case comparison set is reported alongside sensitivity on the real-world 2000-message test set. The point estimate of the sensitivity change is reported in percentage points, with 95% confidence intervals from parametric bootstrap (10,000 iterations, seed 42) sampling sensitivities independently from binomial distributions parameterized by the observed proportions and the corresponding test-set sample sizes.</w:t>
      </w:r>
    </w:p>
    <w:bookmarkEnd w:id="20"/>
    <w:bookmarkStart w:id="21" w:name="X8532ce3f11786fea2ee10e2766d92f7e9715459"/>
    <w:p>
      <w:pPr>
        <w:pStyle w:val="Heading3"/>
      </w:pPr>
      <w:r>
        <w:t xml:space="preserve">Table S3. Full 72-pair cascade matrix on the real-world test set.</w:t>
      </w:r>
    </w:p>
    <w:tbl>
      <w:tblPr>
        <w:tblStyle w:val="Table"/>
        <w:tblW w:type="pct" w:w="5000"/>
        <w:tblLayout w:type="fixed"/>
        <w:tblLook w:firstRow="1" w:lastRow="0" w:firstColumn="0" w:lastColumn="0" w:noHBand="0" w:noVBand="0" w:val="0020"/>
      </w:tblPr>
      <w:tblGrid>
        <w:gridCol w:w="2020"/>
        <w:gridCol w:w="1147"/>
        <w:gridCol w:w="1147"/>
        <w:gridCol w:w="1147"/>
        <w:gridCol w:w="1147"/>
        <w:gridCol w:w="1310"/>
      </w:tblGrid>
      <w:tr>
        <w:trPr>
          <w:tblHeader w:val="on"/>
        </w:trPr>
        <w:tc>
          <w:tcPr/>
          <w:p>
            <w:pPr>
              <w:pStyle w:val="Compact"/>
              <w:jc w:val="left"/>
            </w:pPr>
            <w:r>
              <w:t xml:space="preserve">Cascade</w:t>
            </w:r>
          </w:p>
        </w:tc>
        <w:tc>
          <w:tcPr/>
          <w:p>
            <w:pPr>
              <w:pStyle w:val="Compact"/>
              <w:jc w:val="left"/>
            </w:pPr>
            <w:r>
              <w:t xml:space="preserve">Sens (95% CI)</w:t>
            </w:r>
          </w:p>
        </w:tc>
        <w:tc>
          <w:tcPr/>
          <w:p>
            <w:pPr>
              <w:pStyle w:val="Compact"/>
              <w:jc w:val="left"/>
            </w:pPr>
            <w:r>
              <w:t xml:space="preserve">Spec (95% CI)</w:t>
            </w:r>
          </w:p>
        </w:tc>
        <w:tc>
          <w:tcPr/>
          <w:p>
            <w:pPr>
              <w:pStyle w:val="Compact"/>
              <w:jc w:val="left"/>
            </w:pPr>
            <w:r>
              <w:t xml:space="preserve">PPV (95% CI)</w:t>
            </w:r>
          </w:p>
        </w:tc>
        <w:tc>
          <w:tcPr/>
          <w:p>
            <w:pPr>
              <w:pStyle w:val="Compact"/>
              <w:jc w:val="left"/>
            </w:pPr>
            <w:r>
              <w:t xml:space="preserve">F1 (95% CI)</w:t>
            </w:r>
          </w:p>
        </w:tc>
        <w:tc>
          <w:tcPr/>
          <w:p>
            <w:pPr>
              <w:pStyle w:val="Compact"/>
              <w:jc w:val="left"/>
            </w:pPr>
            <w:r>
              <w:t xml:space="preserve">MCC (95% CI)</w:t>
            </w:r>
          </w:p>
        </w:tc>
      </w:tr>
      <w:tr>
        <w:tc>
          <w:tcPr/>
          <w:p>
            <w:pPr>
              <w:pStyle w:val="Compact"/>
              <w:jc w:val="left"/>
            </w:pPr>
            <w:r>
              <w:t xml:space="preserve">CQL reward-opt × LogReg+TF-IDF</w:t>
            </w:r>
          </w:p>
        </w:tc>
        <w:tc>
          <w:tcPr/>
          <w:p>
            <w:pPr>
              <w:pStyle w:val="Compact"/>
              <w:jc w:val="left"/>
            </w:pPr>
            <w:r>
              <w:t xml:space="preserve">0.915 (0.863–0.949)</w:t>
            </w:r>
          </w:p>
        </w:tc>
        <w:tc>
          <w:tcPr/>
          <w:p>
            <w:pPr>
              <w:pStyle w:val="Compact"/>
              <w:jc w:val="left"/>
            </w:pPr>
            <w:r>
              <w:t xml:space="preserve">0.167 (0.151–0.185)</w:t>
            </w:r>
          </w:p>
        </w:tc>
        <w:tc>
          <w:tcPr/>
          <w:p>
            <w:pPr>
              <w:pStyle w:val="Compact"/>
              <w:jc w:val="left"/>
            </w:pPr>
            <w:r>
              <w:t xml:space="preserve">0.090 (0.077–0.105)</w:t>
            </w:r>
          </w:p>
        </w:tc>
        <w:tc>
          <w:tcPr/>
          <w:p>
            <w:pPr>
              <w:pStyle w:val="Compact"/>
              <w:jc w:val="left"/>
            </w:pPr>
            <w:r>
              <w:t xml:space="preserve">0.164 (0.156–0.171)</w:t>
            </w:r>
          </w:p>
        </w:tc>
        <w:tc>
          <w:tcPr/>
          <w:p>
            <w:pPr>
              <w:pStyle w:val="Compact"/>
              <w:jc w:val="left"/>
            </w:pPr>
            <w:r>
              <w:t xml:space="preserve">0.062 (0.027–0.093)</w:t>
            </w:r>
          </w:p>
        </w:tc>
      </w:tr>
      <w:tr>
        <w:tc>
          <w:tcPr/>
          <w:p>
            <w:pPr>
              <w:pStyle w:val="Compact"/>
              <w:jc w:val="left"/>
            </w:pPr>
            <w:r>
              <w:t xml:space="preserve">ActionHead × LogReg+TF-IDF</w:t>
            </w:r>
          </w:p>
        </w:tc>
        <w:tc>
          <w:tcPr/>
          <w:p>
            <w:pPr>
              <w:pStyle w:val="Compact"/>
              <w:jc w:val="left"/>
            </w:pPr>
            <w:r>
              <w:t xml:space="preserve">0.418 (0.346–0.494)</w:t>
            </w:r>
          </w:p>
        </w:tc>
        <w:tc>
          <w:tcPr/>
          <w:p>
            <w:pPr>
              <w:pStyle w:val="Compact"/>
              <w:jc w:val="left"/>
            </w:pPr>
            <w:r>
              <w:t xml:space="preserve">0.809 (0.791–0.827)</w:t>
            </w:r>
          </w:p>
        </w:tc>
        <w:tc>
          <w:tcPr/>
          <w:p>
            <w:pPr>
              <w:pStyle w:val="Compact"/>
              <w:jc w:val="left"/>
            </w:pPr>
            <w:r>
              <w:t xml:space="preserve">0.165 (0.132–0.203)</w:t>
            </w:r>
          </w:p>
        </w:tc>
        <w:tc>
          <w:tcPr/>
          <w:p>
            <w:pPr>
              <w:pStyle w:val="Compact"/>
              <w:jc w:val="left"/>
            </w:pPr>
            <w:r>
              <w:t xml:space="preserve">0.236 (0.194–0.279)</w:t>
            </w:r>
          </w:p>
        </w:tc>
        <w:tc>
          <w:tcPr/>
          <w:p>
            <w:pPr>
              <w:pStyle w:val="Compact"/>
              <w:jc w:val="left"/>
            </w:pPr>
            <w:r>
              <w:t xml:space="preserve">0.154 (0.098–0.210)</w:t>
            </w:r>
          </w:p>
        </w:tc>
      </w:tr>
      <w:tr>
        <w:tc>
          <w:tcPr/>
          <w:p>
            <w:pPr>
              <w:pStyle w:val="Compact"/>
              <w:jc w:val="left"/>
            </w:pPr>
            <w:r>
              <w:t xml:space="preserve">CQL reward-opt × XGBoost+SBERT</w:t>
            </w:r>
          </w:p>
        </w:tc>
        <w:tc>
          <w:tcPr/>
          <w:p>
            <w:pPr>
              <w:pStyle w:val="Compact"/>
              <w:jc w:val="left"/>
            </w:pPr>
            <w:r>
              <w:t xml:space="preserve">0.418 (0.346–0.494)</w:t>
            </w:r>
          </w:p>
        </w:tc>
        <w:tc>
          <w:tcPr/>
          <w:p>
            <w:pPr>
              <w:pStyle w:val="Compact"/>
              <w:jc w:val="left"/>
            </w:pPr>
            <w:r>
              <w:t xml:space="preserve">0.736 (0.716–0.756)</w:t>
            </w:r>
          </w:p>
        </w:tc>
        <w:tc>
          <w:tcPr/>
          <w:p>
            <w:pPr>
              <w:pStyle w:val="Compact"/>
              <w:jc w:val="left"/>
            </w:pPr>
            <w:r>
              <w:t xml:space="preserve">0.125 (0.100–0.155)</w:t>
            </w:r>
          </w:p>
        </w:tc>
        <w:tc>
          <w:tcPr/>
          <w:p>
            <w:pPr>
              <w:pStyle w:val="Compact"/>
              <w:jc w:val="left"/>
            </w:pPr>
            <w:r>
              <w:t xml:space="preserve">0.192 (0.158–0.226)</w:t>
            </w:r>
          </w:p>
        </w:tc>
        <w:tc>
          <w:tcPr/>
          <w:p>
            <w:pPr>
              <w:pStyle w:val="Compact"/>
              <w:jc w:val="left"/>
            </w:pPr>
            <w:r>
              <w:t xml:space="preserve">0.095 (0.045–0.145)</w:t>
            </w:r>
          </w:p>
        </w:tc>
      </w:tr>
      <w:tr>
        <w:tc>
          <w:tcPr/>
          <w:p>
            <w:pPr>
              <w:pStyle w:val="Compact"/>
              <w:jc w:val="left"/>
            </w:pPr>
            <w:r>
              <w:t xml:space="preserve">LogReg+TF-IDF × XGBoost+SBERT</w:t>
            </w:r>
          </w:p>
        </w:tc>
        <w:tc>
          <w:tcPr/>
          <w:p>
            <w:pPr>
              <w:pStyle w:val="Compact"/>
              <w:jc w:val="left"/>
            </w:pPr>
            <w:r>
              <w:t xml:space="preserve">0.418 (0.346–0.494)</w:t>
            </w:r>
          </w:p>
        </w:tc>
        <w:tc>
          <w:tcPr/>
          <w:p>
            <w:pPr>
              <w:pStyle w:val="Compact"/>
              <w:jc w:val="left"/>
            </w:pPr>
            <w:r>
              <w:t xml:space="preserve">0.736 (0.715–0.755)</w:t>
            </w:r>
          </w:p>
        </w:tc>
        <w:tc>
          <w:tcPr/>
          <w:p>
            <w:pPr>
              <w:pStyle w:val="Compact"/>
              <w:jc w:val="left"/>
            </w:pPr>
            <w:r>
              <w:t xml:space="preserve">0.124 (0.100–0.155)</w:t>
            </w:r>
          </w:p>
        </w:tc>
        <w:tc>
          <w:tcPr/>
          <w:p>
            <w:pPr>
              <w:pStyle w:val="Compact"/>
              <w:jc w:val="left"/>
            </w:pPr>
            <w:r>
              <w:t xml:space="preserve">0.192 (0.158–0.226)</w:t>
            </w:r>
          </w:p>
        </w:tc>
        <w:tc>
          <w:tcPr/>
          <w:p>
            <w:pPr>
              <w:pStyle w:val="Compact"/>
              <w:jc w:val="left"/>
            </w:pPr>
            <w:r>
              <w:t xml:space="preserve">0.095 (0.045–0.144)</w:t>
            </w:r>
          </w:p>
        </w:tc>
      </w:tr>
      <w:tr>
        <w:tc>
          <w:tcPr/>
          <w:p>
            <w:pPr>
              <w:pStyle w:val="Compact"/>
              <w:jc w:val="left"/>
            </w:pPr>
            <w:r>
              <w:t xml:space="preserve">ActionHead × CQL reward-opt</w:t>
            </w:r>
          </w:p>
        </w:tc>
        <w:tc>
          <w:tcPr/>
          <w:p>
            <w:pPr>
              <w:pStyle w:val="Compact"/>
              <w:jc w:val="left"/>
            </w:pPr>
            <w:r>
              <w:t xml:space="preserve">0.412 (0.340–0.488)</w:t>
            </w:r>
          </w:p>
        </w:tc>
        <w:tc>
          <w:tcPr/>
          <w:p>
            <w:pPr>
              <w:pStyle w:val="Compact"/>
              <w:jc w:val="left"/>
            </w:pPr>
            <w:r>
              <w:t xml:space="preserve">0.809 (0.790–0.826)</w:t>
            </w:r>
          </w:p>
        </w:tc>
        <w:tc>
          <w:tcPr/>
          <w:p>
            <w:pPr>
              <w:pStyle w:val="Compact"/>
              <w:jc w:val="left"/>
            </w:pPr>
            <w:r>
              <w:t xml:space="preserve">0.162 (0.130–0.201)</w:t>
            </w:r>
          </w:p>
        </w:tc>
        <w:tc>
          <w:tcPr/>
          <w:p>
            <w:pPr>
              <w:pStyle w:val="Compact"/>
              <w:jc w:val="left"/>
            </w:pPr>
            <w:r>
              <w:t xml:space="preserve">0.233 (0.191–0.277)</w:t>
            </w:r>
          </w:p>
        </w:tc>
        <w:tc>
          <w:tcPr/>
          <w:p>
            <w:pPr>
              <w:pStyle w:val="Compact"/>
              <w:jc w:val="left"/>
            </w:pPr>
            <w:r>
              <w:t xml:space="preserve">0.149 (0.094–0.207)</w:t>
            </w:r>
          </w:p>
        </w:tc>
      </w:tr>
      <w:tr>
        <w:tc>
          <w:tcPr/>
          <w:p>
            <w:pPr>
              <w:pStyle w:val="Compact"/>
              <w:jc w:val="left"/>
            </w:pPr>
            <w:r>
              <w:t xml:space="preserve">CQL reward-opt × GPT-5.5</w:t>
            </w:r>
          </w:p>
        </w:tc>
        <w:tc>
          <w:tcPr/>
          <w:p>
            <w:pPr>
              <w:pStyle w:val="Compact"/>
              <w:jc w:val="left"/>
            </w:pPr>
            <w:r>
              <w:t xml:space="preserve">0.315 (0.249–0.390)</w:t>
            </w:r>
          </w:p>
        </w:tc>
        <w:tc>
          <w:tcPr/>
          <w:p>
            <w:pPr>
              <w:pStyle w:val="Compact"/>
              <w:jc w:val="left"/>
            </w:pPr>
            <w:r>
              <w:t xml:space="preserve">0.867 (0.851–0.882)</w:t>
            </w:r>
          </w:p>
        </w:tc>
        <w:tc>
          <w:tcPr/>
          <w:p>
            <w:pPr>
              <w:pStyle w:val="Compact"/>
              <w:jc w:val="left"/>
            </w:pPr>
            <w:r>
              <w:t xml:space="preserve">0.176 (0.137–0.223)</w:t>
            </w:r>
          </w:p>
        </w:tc>
        <w:tc>
          <w:tcPr/>
          <w:p>
            <w:pPr>
              <w:pStyle w:val="Compact"/>
              <w:jc w:val="left"/>
            </w:pPr>
            <w:r>
              <w:t xml:space="preserve">0.226 (0.179–0.271)</w:t>
            </w:r>
          </w:p>
        </w:tc>
        <w:tc>
          <w:tcPr/>
          <w:p>
            <w:pPr>
              <w:pStyle w:val="Compact"/>
              <w:jc w:val="left"/>
            </w:pPr>
            <w:r>
              <w:t xml:space="preserve">0.141 (0.087–0.194)</w:t>
            </w:r>
          </w:p>
        </w:tc>
      </w:tr>
      <w:tr>
        <w:tc>
          <w:tcPr/>
          <w:p>
            <w:pPr>
              <w:pStyle w:val="Compact"/>
              <w:jc w:val="left"/>
            </w:pPr>
            <w:r>
              <w:t xml:space="preserve">GPT-5.5 × LogReg+TF-IDF</w:t>
            </w:r>
          </w:p>
        </w:tc>
        <w:tc>
          <w:tcPr/>
          <w:p>
            <w:pPr>
              <w:pStyle w:val="Compact"/>
              <w:jc w:val="left"/>
            </w:pPr>
            <w:r>
              <w:t xml:space="preserve">0.315 (0.249–0.390)</w:t>
            </w:r>
          </w:p>
        </w:tc>
        <w:tc>
          <w:tcPr/>
          <w:p>
            <w:pPr>
              <w:pStyle w:val="Compact"/>
              <w:jc w:val="left"/>
            </w:pPr>
            <w:r>
              <w:t xml:space="preserve">0.866 (0.850–0.881)</w:t>
            </w:r>
          </w:p>
        </w:tc>
        <w:tc>
          <w:tcPr/>
          <w:p>
            <w:pPr>
              <w:pStyle w:val="Compact"/>
              <w:jc w:val="left"/>
            </w:pPr>
            <w:r>
              <w:t xml:space="preserve">0.174 (0.136–0.222)</w:t>
            </w:r>
          </w:p>
        </w:tc>
        <w:tc>
          <w:tcPr/>
          <w:p>
            <w:pPr>
              <w:pStyle w:val="Compact"/>
              <w:jc w:val="left"/>
            </w:pPr>
            <w:r>
              <w:t xml:space="preserve">0.225 (0.178–0.266)</w:t>
            </w:r>
          </w:p>
        </w:tc>
        <w:tc>
          <w:tcPr/>
          <w:p>
            <w:pPr>
              <w:pStyle w:val="Compact"/>
              <w:jc w:val="left"/>
            </w:pPr>
            <w:r>
              <w:t xml:space="preserve">0.140 (0.084–0.189)</w:t>
            </w:r>
          </w:p>
        </w:tc>
      </w:tr>
      <w:tr>
        <w:tc>
          <w:tcPr/>
          <w:p>
            <w:pPr>
              <w:pStyle w:val="Compact"/>
              <w:jc w:val="left"/>
            </w:pPr>
            <w:r>
              <w:t xml:space="preserve">Claude Opus 4.7 × CQL reward-opt</w:t>
            </w:r>
          </w:p>
        </w:tc>
        <w:tc>
          <w:tcPr/>
          <w:p>
            <w:pPr>
              <w:pStyle w:val="Compact"/>
              <w:jc w:val="left"/>
            </w:pPr>
            <w:r>
              <w:t xml:space="preserve">0.297 (0.233–0.371)</w:t>
            </w:r>
          </w:p>
        </w:tc>
        <w:tc>
          <w:tcPr/>
          <w:p>
            <w:pPr>
              <w:pStyle w:val="Compact"/>
              <w:jc w:val="left"/>
            </w:pPr>
            <w:r>
              <w:t xml:space="preserve">0.874 (0.858–0.888)</w:t>
            </w:r>
          </w:p>
        </w:tc>
        <w:tc>
          <w:tcPr/>
          <w:p>
            <w:pPr>
              <w:pStyle w:val="Compact"/>
              <w:jc w:val="left"/>
            </w:pPr>
            <w:r>
              <w:t xml:space="preserve">0.174 (0.134–0.223)</w:t>
            </w:r>
          </w:p>
        </w:tc>
        <w:tc>
          <w:tcPr/>
          <w:p>
            <w:pPr>
              <w:pStyle w:val="Compact"/>
              <w:jc w:val="left"/>
            </w:pPr>
            <w:r>
              <w:t xml:space="preserve">0.220 (0.176–0.263)</w:t>
            </w:r>
          </w:p>
        </w:tc>
        <w:tc>
          <w:tcPr/>
          <w:p>
            <w:pPr>
              <w:pStyle w:val="Compact"/>
              <w:jc w:val="left"/>
            </w:pPr>
            <w:r>
              <w:t xml:space="preserve">0.135 (0.084–0.185)</w:t>
            </w:r>
          </w:p>
        </w:tc>
      </w:tr>
      <w:tr>
        <w:tc>
          <w:tcPr/>
          <w:p>
            <w:pPr>
              <w:pStyle w:val="Compact"/>
              <w:jc w:val="left"/>
            </w:pPr>
            <w:r>
              <w:t xml:space="preserve">Claude Opus 4.7 × LogReg+TF-IDF</w:t>
            </w:r>
          </w:p>
        </w:tc>
        <w:tc>
          <w:tcPr/>
          <w:p>
            <w:pPr>
              <w:pStyle w:val="Compact"/>
              <w:jc w:val="left"/>
            </w:pPr>
            <w:r>
              <w:t xml:space="preserve">0.291 (0.227–0.364)</w:t>
            </w:r>
          </w:p>
        </w:tc>
        <w:tc>
          <w:tcPr/>
          <w:p>
            <w:pPr>
              <w:pStyle w:val="Compact"/>
              <w:jc w:val="left"/>
            </w:pPr>
            <w:r>
              <w:t xml:space="preserve">0.875 (0.859–0.889)</w:t>
            </w:r>
          </w:p>
        </w:tc>
        <w:tc>
          <w:tcPr/>
          <w:p>
            <w:pPr>
              <w:pStyle w:val="Compact"/>
              <w:jc w:val="left"/>
            </w:pPr>
            <w:r>
              <w:t xml:space="preserve">0.173 (0.133–0.221)</w:t>
            </w:r>
          </w:p>
        </w:tc>
        <w:tc>
          <w:tcPr/>
          <w:p>
            <w:pPr>
              <w:pStyle w:val="Compact"/>
              <w:jc w:val="left"/>
            </w:pPr>
            <w:r>
              <w:t xml:space="preserve">0.217 (0.172–0.259)</w:t>
            </w:r>
          </w:p>
        </w:tc>
        <w:tc>
          <w:tcPr/>
          <w:p>
            <w:pPr>
              <w:pStyle w:val="Compact"/>
              <w:jc w:val="left"/>
            </w:pPr>
            <w:r>
              <w:t xml:space="preserve">0.132 (0.081–0.181)</w:t>
            </w:r>
          </w:p>
        </w:tc>
      </w:tr>
      <w:tr>
        <w:tc>
          <w:tcPr/>
          <w:p>
            <w:pPr>
              <w:pStyle w:val="Compact"/>
              <w:jc w:val="left"/>
            </w:pPr>
            <w:r>
              <w:t xml:space="preserve">CQL reward-opt × GPT-5.5 + RAG</w:t>
            </w:r>
          </w:p>
        </w:tc>
        <w:tc>
          <w:tcPr/>
          <w:p>
            <w:pPr>
              <w:pStyle w:val="Compact"/>
              <w:jc w:val="left"/>
            </w:pPr>
            <w:r>
              <w:t xml:space="preserve">0.261 (0.200–0.332)</w:t>
            </w:r>
          </w:p>
        </w:tc>
        <w:tc>
          <w:tcPr/>
          <w:p>
            <w:pPr>
              <w:pStyle w:val="Compact"/>
              <w:jc w:val="left"/>
            </w:pPr>
            <w:r>
              <w:t xml:space="preserve">0.894 (0.879–0.907)</w:t>
            </w:r>
          </w:p>
        </w:tc>
        <w:tc>
          <w:tcPr/>
          <w:p>
            <w:pPr>
              <w:pStyle w:val="Compact"/>
              <w:jc w:val="left"/>
            </w:pPr>
            <w:r>
              <w:t xml:space="preserve">0.181 (0.137–0.235)</w:t>
            </w:r>
          </w:p>
        </w:tc>
        <w:tc>
          <w:tcPr/>
          <w:p>
            <w:pPr>
              <w:pStyle w:val="Compact"/>
              <w:jc w:val="left"/>
            </w:pPr>
            <w:r>
              <w:t xml:space="preserve">0.213 (0.166–0.266)</w:t>
            </w:r>
          </w:p>
        </w:tc>
        <w:tc>
          <w:tcPr/>
          <w:p>
            <w:pPr>
              <w:pStyle w:val="Compact"/>
              <w:jc w:val="left"/>
            </w:pPr>
            <w:r>
              <w:t xml:space="preserve">0.131 (0.078–0.190)</w:t>
            </w:r>
          </w:p>
        </w:tc>
      </w:tr>
      <w:tr>
        <w:tc>
          <w:tcPr/>
          <w:p>
            <w:pPr>
              <w:pStyle w:val="Compact"/>
              <w:jc w:val="left"/>
            </w:pPr>
            <w:r>
              <w:t xml:space="preserve">GPT-5.5 + RAG × LogReg+TF-IDF</w:t>
            </w:r>
          </w:p>
        </w:tc>
        <w:tc>
          <w:tcPr/>
          <w:p>
            <w:pPr>
              <w:pStyle w:val="Compact"/>
              <w:jc w:val="left"/>
            </w:pPr>
            <w:r>
              <w:t xml:space="preserve">0.261 (0.200–0.332)</w:t>
            </w:r>
          </w:p>
        </w:tc>
        <w:tc>
          <w:tcPr/>
          <w:p>
            <w:pPr>
              <w:pStyle w:val="Compact"/>
              <w:jc w:val="left"/>
            </w:pPr>
            <w:r>
              <w:t xml:space="preserve">0.890 (0.875–0.904)</w:t>
            </w:r>
          </w:p>
        </w:tc>
        <w:tc>
          <w:tcPr/>
          <w:p>
            <w:pPr>
              <w:pStyle w:val="Compact"/>
              <w:jc w:val="left"/>
            </w:pPr>
            <w:r>
              <w:t xml:space="preserve">0.176 (0.134–0.229)</w:t>
            </w:r>
          </w:p>
        </w:tc>
        <w:tc>
          <w:tcPr/>
          <w:p>
            <w:pPr>
              <w:pStyle w:val="Compact"/>
              <w:jc w:val="left"/>
            </w:pPr>
            <w:r>
              <w:t xml:space="preserve">0.210 (0.164–0.260)</w:t>
            </w:r>
          </w:p>
        </w:tc>
        <w:tc>
          <w:tcPr/>
          <w:p>
            <w:pPr>
              <w:pStyle w:val="Compact"/>
              <w:jc w:val="left"/>
            </w:pPr>
            <w:r>
              <w:t xml:space="preserve">0.127 (0.076–0.184)</w:t>
            </w:r>
          </w:p>
        </w:tc>
      </w:tr>
      <w:tr>
        <w:tc>
          <w:tcPr/>
          <w:p>
            <w:pPr>
              <w:pStyle w:val="Compact"/>
              <w:jc w:val="left"/>
            </w:pPr>
            <w:r>
              <w:t xml:space="preserve">ActionHead × XGBoost+SBERT</w:t>
            </w:r>
          </w:p>
        </w:tc>
        <w:tc>
          <w:tcPr/>
          <w:p>
            <w:pPr>
              <w:pStyle w:val="Compact"/>
              <w:jc w:val="left"/>
            </w:pPr>
            <w:r>
              <w:t xml:space="preserve">0.255 (0.194–0.326)</w:t>
            </w:r>
          </w:p>
        </w:tc>
        <w:tc>
          <w:tcPr/>
          <w:p>
            <w:pPr>
              <w:pStyle w:val="Compact"/>
              <w:jc w:val="left"/>
            </w:pPr>
            <w:r>
              <w:t xml:space="preserve">0.888 (0.872–0.901)</w:t>
            </w:r>
          </w:p>
        </w:tc>
        <w:tc>
          <w:tcPr/>
          <w:p>
            <w:pPr>
              <w:pStyle w:val="Compact"/>
              <w:jc w:val="left"/>
            </w:pPr>
            <w:r>
              <w:t xml:space="preserve">0.169 (0.128–0.221)</w:t>
            </w:r>
          </w:p>
        </w:tc>
        <w:tc>
          <w:tcPr/>
          <w:p>
            <w:pPr>
              <w:pStyle w:val="Compact"/>
              <w:jc w:val="left"/>
            </w:pPr>
            <w:r>
              <w:t xml:space="preserve">0.203 (0.156–0.247)</w:t>
            </w:r>
          </w:p>
        </w:tc>
        <w:tc>
          <w:tcPr/>
          <w:p>
            <w:pPr>
              <w:pStyle w:val="Compact"/>
              <w:jc w:val="left"/>
            </w:pPr>
            <w:r>
              <w:t xml:space="preserve">0.119 (0.066–0.168)</w:t>
            </w:r>
          </w:p>
        </w:tc>
      </w:tr>
      <w:tr>
        <w:tc>
          <w:tcPr/>
          <w:p>
            <w:pPr>
              <w:pStyle w:val="Compact"/>
              <w:jc w:val="left"/>
            </w:pPr>
            <w:r>
              <w:t xml:space="preserve">Claude Opus 4.7 × GPT-5.5</w:t>
            </w:r>
          </w:p>
        </w:tc>
        <w:tc>
          <w:tcPr/>
          <w:p>
            <w:pPr>
              <w:pStyle w:val="Compact"/>
              <w:jc w:val="left"/>
            </w:pPr>
            <w:r>
              <w:t xml:space="preserve">0.236 (0.178–0.307)</w:t>
            </w:r>
          </w:p>
        </w:tc>
        <w:tc>
          <w:tcPr/>
          <w:p>
            <w:pPr>
              <w:pStyle w:val="Compact"/>
              <w:jc w:val="left"/>
            </w:pPr>
            <w:r>
              <w:t xml:space="preserve">0.909 (0.896–0.922)</w:t>
            </w:r>
          </w:p>
        </w:tc>
        <w:tc>
          <w:tcPr/>
          <w:p>
            <w:pPr>
              <w:pStyle w:val="Compact"/>
              <w:jc w:val="left"/>
            </w:pPr>
            <w:r>
              <w:t xml:space="preserve">0.190 (0.142–0.249)</w:t>
            </w:r>
          </w:p>
        </w:tc>
        <w:tc>
          <w:tcPr/>
          <w:p>
            <w:pPr>
              <w:pStyle w:val="Compact"/>
              <w:jc w:val="left"/>
            </w:pPr>
            <w:r>
              <w:t xml:space="preserve">0.211 (0.163–0.256)</w:t>
            </w:r>
          </w:p>
        </w:tc>
        <w:tc>
          <w:tcPr/>
          <w:p>
            <w:pPr>
              <w:pStyle w:val="Compact"/>
              <w:jc w:val="left"/>
            </w:pPr>
            <w:r>
              <w:t xml:space="preserve">0.132 (0.079–0.183)</w:t>
            </w:r>
          </w:p>
        </w:tc>
      </w:tr>
      <w:tr>
        <w:tc>
          <w:tcPr/>
          <w:p>
            <w:pPr>
              <w:pStyle w:val="Compact"/>
              <w:jc w:val="left"/>
            </w:pPr>
            <w:r>
              <w:t xml:space="preserve">GPT-5.5 + RAG × GPT-5.5</w:t>
            </w:r>
          </w:p>
        </w:tc>
        <w:tc>
          <w:tcPr/>
          <w:p>
            <w:pPr>
              <w:pStyle w:val="Compact"/>
              <w:jc w:val="left"/>
            </w:pPr>
            <w:r>
              <w:t xml:space="preserve">0.224 (0.167–0.294)</w:t>
            </w:r>
          </w:p>
        </w:tc>
        <w:tc>
          <w:tcPr/>
          <w:p>
            <w:pPr>
              <w:pStyle w:val="Compact"/>
              <w:jc w:val="left"/>
            </w:pPr>
            <w:r>
              <w:t xml:space="preserve">0.924 (0.911–0.935)</w:t>
            </w:r>
          </w:p>
        </w:tc>
        <w:tc>
          <w:tcPr/>
          <w:p>
            <w:pPr>
              <w:pStyle w:val="Compact"/>
              <w:jc w:val="left"/>
            </w:pPr>
            <w:r>
              <w:t xml:space="preserve">0.210 (0.157–0.276)</w:t>
            </w:r>
          </w:p>
        </w:tc>
        <w:tc>
          <w:tcPr/>
          <w:p>
            <w:pPr>
              <w:pStyle w:val="Compact"/>
              <w:jc w:val="left"/>
            </w:pPr>
            <w:r>
              <w:t xml:space="preserve">0.217 (0.165–0.268)</w:t>
            </w:r>
          </w:p>
        </w:tc>
        <w:tc>
          <w:tcPr/>
          <w:p>
            <w:pPr>
              <w:pStyle w:val="Compact"/>
              <w:jc w:val="left"/>
            </w:pPr>
            <w:r>
              <w:t xml:space="preserve">0.144 (0.088–0.201)</w:t>
            </w:r>
          </w:p>
        </w:tc>
      </w:tr>
      <w:tr>
        <w:tc>
          <w:tcPr/>
          <w:p>
            <w:pPr>
              <w:pStyle w:val="Compact"/>
              <w:jc w:val="left"/>
            </w:pPr>
            <w:r>
              <w:t xml:space="preserve">Claude 4.7 + RAG × LogReg+TF-IDF</w:t>
            </w:r>
          </w:p>
        </w:tc>
        <w:tc>
          <w:tcPr/>
          <w:p>
            <w:pPr>
              <w:pStyle w:val="Compact"/>
              <w:jc w:val="left"/>
            </w:pPr>
            <w:r>
              <w:t xml:space="preserve">0.218 (0.162–0.287)</w:t>
            </w:r>
          </w:p>
        </w:tc>
        <w:tc>
          <w:tcPr/>
          <w:p>
            <w:pPr>
              <w:pStyle w:val="Compact"/>
              <w:jc w:val="left"/>
            </w:pPr>
            <w:r>
              <w:t xml:space="preserve">0.921 (0.908–0.933)</w:t>
            </w:r>
          </w:p>
        </w:tc>
        <w:tc>
          <w:tcPr/>
          <w:p>
            <w:pPr>
              <w:pStyle w:val="Compact"/>
              <w:jc w:val="left"/>
            </w:pPr>
            <w:r>
              <w:t xml:space="preserve">0.200 (0.148–0.264)</w:t>
            </w:r>
          </w:p>
        </w:tc>
        <w:tc>
          <w:tcPr/>
          <w:p>
            <w:pPr>
              <w:pStyle w:val="Compact"/>
              <w:jc w:val="left"/>
            </w:pPr>
            <w:r>
              <w:t xml:space="preserve">0.209 (0.157–0.260)</w:t>
            </w:r>
          </w:p>
        </w:tc>
        <w:tc>
          <w:tcPr/>
          <w:p>
            <w:pPr>
              <w:pStyle w:val="Compact"/>
              <w:jc w:val="left"/>
            </w:pPr>
            <w:r>
              <w:t xml:space="preserve">0.134 (0.078–0.190)</w:t>
            </w:r>
          </w:p>
        </w:tc>
      </w:tr>
      <w:tr>
        <w:tc>
          <w:tcPr/>
          <w:p>
            <w:pPr>
              <w:pStyle w:val="Compact"/>
              <w:jc w:val="left"/>
            </w:pPr>
            <w:r>
              <w:t xml:space="preserve">Claude 4.7 + RAG × CQL reward-opt</w:t>
            </w:r>
          </w:p>
        </w:tc>
        <w:tc>
          <w:tcPr/>
          <w:p>
            <w:pPr>
              <w:pStyle w:val="Compact"/>
              <w:jc w:val="left"/>
            </w:pPr>
            <w:r>
              <w:t xml:space="preserve">0.218 (0.162–0.287)</w:t>
            </w:r>
          </w:p>
        </w:tc>
        <w:tc>
          <w:tcPr/>
          <w:p>
            <w:pPr>
              <w:pStyle w:val="Compact"/>
              <w:jc w:val="left"/>
            </w:pPr>
            <w:r>
              <w:t xml:space="preserve">0.919 (0.906–0.931)</w:t>
            </w:r>
          </w:p>
        </w:tc>
        <w:tc>
          <w:tcPr/>
          <w:p>
            <w:pPr>
              <w:pStyle w:val="Compact"/>
              <w:jc w:val="left"/>
            </w:pPr>
            <w:r>
              <w:t xml:space="preserve">0.196 (0.145–0.259)</w:t>
            </w:r>
          </w:p>
        </w:tc>
        <w:tc>
          <w:tcPr/>
          <w:p>
            <w:pPr>
              <w:pStyle w:val="Compact"/>
              <w:jc w:val="left"/>
            </w:pPr>
            <w:r>
              <w:t xml:space="preserve">0.206 (0.155–0.257)</w:t>
            </w:r>
          </w:p>
        </w:tc>
        <w:tc>
          <w:tcPr/>
          <w:p>
            <w:pPr>
              <w:pStyle w:val="Compact"/>
              <w:jc w:val="left"/>
            </w:pPr>
            <w:r>
              <w:t xml:space="preserve">0.131 (0.075–0.186)</w:t>
            </w:r>
          </w:p>
        </w:tc>
      </w:tr>
      <w:tr>
        <w:tc>
          <w:tcPr/>
          <w:p>
            <w:pPr>
              <w:pStyle w:val="Compact"/>
              <w:jc w:val="left"/>
            </w:pPr>
            <w:r>
              <w:t xml:space="preserve">ActionHead × GPT-5.5</w:t>
            </w:r>
          </w:p>
        </w:tc>
        <w:tc>
          <w:tcPr/>
          <w:p>
            <w:pPr>
              <w:pStyle w:val="Compact"/>
              <w:jc w:val="left"/>
            </w:pPr>
            <w:r>
              <w:t xml:space="preserve">0.212 (0.157–0.281)</w:t>
            </w:r>
          </w:p>
        </w:tc>
        <w:tc>
          <w:tcPr/>
          <w:p>
            <w:pPr>
              <w:pStyle w:val="Compact"/>
              <w:jc w:val="left"/>
            </w:pPr>
            <w:r>
              <w:t xml:space="preserve">0.944 (0.933–0.954)</w:t>
            </w:r>
          </w:p>
        </w:tc>
        <w:tc>
          <w:tcPr/>
          <w:p>
            <w:pPr>
              <w:pStyle w:val="Compact"/>
              <w:jc w:val="left"/>
            </w:pPr>
            <w:r>
              <w:t xml:space="preserve">0.256 (0.190–0.334)</w:t>
            </w:r>
          </w:p>
        </w:tc>
        <w:tc>
          <w:tcPr/>
          <w:p>
            <w:pPr>
              <w:pStyle w:val="Compact"/>
              <w:jc w:val="left"/>
            </w:pPr>
            <w:r>
              <w:t xml:space="preserve">0.232 (0.169–0.294)</w:t>
            </w:r>
          </w:p>
        </w:tc>
        <w:tc>
          <w:tcPr/>
          <w:p>
            <w:pPr>
              <w:pStyle w:val="Compact"/>
              <w:jc w:val="left"/>
            </w:pPr>
            <w:r>
              <w:t xml:space="preserve">0.171 (0.106–0.237)</w:t>
            </w:r>
          </w:p>
        </w:tc>
      </w:tr>
      <w:tr>
        <w:tc>
          <w:tcPr/>
          <w:p>
            <w:pPr>
              <w:pStyle w:val="Compact"/>
              <w:jc w:val="left"/>
            </w:pPr>
            <w:r>
              <w:t xml:space="preserve">Claude Opus 4.7 × GPT-5.5 + RAG</w:t>
            </w:r>
          </w:p>
        </w:tc>
        <w:tc>
          <w:tcPr/>
          <w:p>
            <w:pPr>
              <w:pStyle w:val="Compact"/>
              <w:jc w:val="left"/>
            </w:pPr>
            <w:r>
              <w:t xml:space="preserve">0.206 (0.151–0.274)</w:t>
            </w:r>
          </w:p>
        </w:tc>
        <w:tc>
          <w:tcPr/>
          <w:p>
            <w:pPr>
              <w:pStyle w:val="Compact"/>
              <w:jc w:val="left"/>
            </w:pPr>
            <w:r>
              <w:t xml:space="preserve">0.938 (0.926–0.949)</w:t>
            </w:r>
          </w:p>
        </w:tc>
        <w:tc>
          <w:tcPr/>
          <w:p>
            <w:pPr>
              <w:pStyle w:val="Compact"/>
              <w:jc w:val="left"/>
            </w:pPr>
            <w:r>
              <w:t xml:space="preserve">0.231 (0.170–0.306)</w:t>
            </w:r>
          </w:p>
        </w:tc>
        <w:tc>
          <w:tcPr/>
          <w:p>
            <w:pPr>
              <w:pStyle w:val="Compact"/>
              <w:jc w:val="left"/>
            </w:pPr>
            <w:r>
              <w:t xml:space="preserve">0.218 (0.159–0.280)</w:t>
            </w:r>
          </w:p>
        </w:tc>
        <w:tc>
          <w:tcPr/>
          <w:p>
            <w:pPr>
              <w:pStyle w:val="Compact"/>
              <w:jc w:val="left"/>
            </w:pPr>
            <w:r>
              <w:t xml:space="preserve">0.152 (0.090–0.220)</w:t>
            </w:r>
          </w:p>
        </w:tc>
      </w:tr>
      <w:tr>
        <w:tc>
          <w:tcPr/>
          <w:p>
            <w:pPr>
              <w:pStyle w:val="Compact"/>
              <w:jc w:val="left"/>
            </w:pPr>
            <w:r>
              <w:t xml:space="preserve">GPT-5.5 × XGBoost+SBERT</w:t>
            </w:r>
          </w:p>
        </w:tc>
        <w:tc>
          <w:tcPr/>
          <w:p>
            <w:pPr>
              <w:pStyle w:val="Compact"/>
              <w:jc w:val="left"/>
            </w:pPr>
            <w:r>
              <w:t xml:space="preserve">0.194 (0.141–0.261)</w:t>
            </w:r>
          </w:p>
        </w:tc>
        <w:tc>
          <w:tcPr/>
          <w:p>
            <w:pPr>
              <w:pStyle w:val="Compact"/>
              <w:jc w:val="left"/>
            </w:pPr>
            <w:r>
              <w:t xml:space="preserve">0.937 (0.925–0.947)</w:t>
            </w:r>
          </w:p>
        </w:tc>
        <w:tc>
          <w:tcPr/>
          <w:p>
            <w:pPr>
              <w:pStyle w:val="Compact"/>
              <w:jc w:val="left"/>
            </w:pPr>
            <w:r>
              <w:t xml:space="preserve">0.216 (0.158–0.289)</w:t>
            </w:r>
          </w:p>
        </w:tc>
        <w:tc>
          <w:tcPr/>
          <w:p>
            <w:pPr>
              <w:pStyle w:val="Compact"/>
              <w:jc w:val="left"/>
            </w:pPr>
            <w:r>
              <w:t xml:space="preserve">0.204 (0.147–0.268)</w:t>
            </w:r>
          </w:p>
        </w:tc>
        <w:tc>
          <w:tcPr/>
          <w:p>
            <w:pPr>
              <w:pStyle w:val="Compact"/>
              <w:jc w:val="left"/>
            </w:pPr>
            <w:r>
              <w:t xml:space="preserve">0.137 (0.078–0.206)</w:t>
            </w:r>
          </w:p>
        </w:tc>
      </w:tr>
      <w:tr>
        <w:tc>
          <w:tcPr/>
          <w:p>
            <w:pPr>
              <w:pStyle w:val="Compact"/>
              <w:jc w:val="left"/>
            </w:pPr>
            <w:r>
              <w:t xml:space="preserve">Claude 4.7 + RAG × GPT-5.5 + RAG</w:t>
            </w:r>
          </w:p>
        </w:tc>
        <w:tc>
          <w:tcPr/>
          <w:p>
            <w:pPr>
              <w:pStyle w:val="Compact"/>
              <w:jc w:val="left"/>
            </w:pPr>
            <w:r>
              <w:t xml:space="preserve">0.188 (0.136–0.254)</w:t>
            </w:r>
          </w:p>
        </w:tc>
        <w:tc>
          <w:tcPr/>
          <w:p>
            <w:pPr>
              <w:pStyle w:val="Compact"/>
              <w:jc w:val="left"/>
            </w:pPr>
            <w:r>
              <w:t xml:space="preserve">0.941 (0.929–0.951)</w:t>
            </w:r>
          </w:p>
        </w:tc>
        <w:tc>
          <w:tcPr/>
          <w:p>
            <w:pPr>
              <w:pStyle w:val="Compact"/>
              <w:jc w:val="left"/>
            </w:pPr>
            <w:r>
              <w:t xml:space="preserve">0.221 (0.161–0.297)</w:t>
            </w:r>
          </w:p>
        </w:tc>
        <w:tc>
          <w:tcPr/>
          <w:p>
            <w:pPr>
              <w:pStyle w:val="Compact"/>
              <w:jc w:val="left"/>
            </w:pPr>
            <w:r>
              <w:t xml:space="preserve">0.203 (0.146–0.267)</w:t>
            </w:r>
          </w:p>
        </w:tc>
        <w:tc>
          <w:tcPr/>
          <w:p>
            <w:pPr>
              <w:pStyle w:val="Compact"/>
              <w:jc w:val="left"/>
            </w:pPr>
            <w:r>
              <w:t xml:space="preserve">0.139 (0.078–0.207)</w:t>
            </w:r>
          </w:p>
        </w:tc>
      </w:tr>
      <w:tr>
        <w:tc>
          <w:tcPr/>
          <w:p>
            <w:pPr>
              <w:pStyle w:val="Compact"/>
              <w:jc w:val="left"/>
            </w:pPr>
            <w:r>
              <w:t xml:space="preserve">Claude 4.7 + RAG × Claude Opus 4.7</w:t>
            </w:r>
          </w:p>
        </w:tc>
        <w:tc>
          <w:tcPr/>
          <w:p>
            <w:pPr>
              <w:pStyle w:val="Compact"/>
              <w:jc w:val="left"/>
            </w:pPr>
            <w:r>
              <w:t xml:space="preserve">0.188 (0.136–0.254)</w:t>
            </w:r>
          </w:p>
        </w:tc>
        <w:tc>
          <w:tcPr/>
          <w:p>
            <w:pPr>
              <w:pStyle w:val="Compact"/>
              <w:jc w:val="left"/>
            </w:pPr>
            <w:r>
              <w:t xml:space="preserve">0.940 (0.928–0.950)</w:t>
            </w:r>
          </w:p>
        </w:tc>
        <w:tc>
          <w:tcPr/>
          <w:p>
            <w:pPr>
              <w:pStyle w:val="Compact"/>
              <w:jc w:val="left"/>
            </w:pPr>
            <w:r>
              <w:t xml:space="preserve">0.218 (0.158–0.293)</w:t>
            </w:r>
          </w:p>
        </w:tc>
        <w:tc>
          <w:tcPr/>
          <w:p>
            <w:pPr>
              <w:pStyle w:val="Compact"/>
              <w:jc w:val="left"/>
            </w:pPr>
            <w:r>
              <w:t xml:space="preserve">0.202 (0.146–0.268)</w:t>
            </w:r>
          </w:p>
        </w:tc>
        <w:tc>
          <w:tcPr/>
          <w:p>
            <w:pPr>
              <w:pStyle w:val="Compact"/>
              <w:jc w:val="left"/>
            </w:pPr>
            <w:r>
              <w:t xml:space="preserve">0.137 (0.078–0.207)</w:t>
            </w:r>
          </w:p>
        </w:tc>
      </w:tr>
      <w:tr>
        <w:tc>
          <w:tcPr/>
          <w:p>
            <w:pPr>
              <w:pStyle w:val="Compact"/>
              <w:jc w:val="left"/>
            </w:pPr>
            <w:r>
              <w:t xml:space="preserve">Claude 4.7 + RAG × GPT-5.5</w:t>
            </w:r>
          </w:p>
        </w:tc>
        <w:tc>
          <w:tcPr/>
          <w:p>
            <w:pPr>
              <w:pStyle w:val="Compact"/>
              <w:jc w:val="left"/>
            </w:pPr>
            <w:r>
              <w:t xml:space="preserve">0.176 (0.125–0.241)</w:t>
            </w:r>
          </w:p>
        </w:tc>
        <w:tc>
          <w:tcPr/>
          <w:p>
            <w:pPr>
              <w:pStyle w:val="Compact"/>
              <w:jc w:val="left"/>
            </w:pPr>
            <w:r>
              <w:t xml:space="preserve">0.948 (0.937–0.957)</w:t>
            </w:r>
          </w:p>
        </w:tc>
        <w:tc>
          <w:tcPr/>
          <w:p>
            <w:pPr>
              <w:pStyle w:val="Compact"/>
              <w:jc w:val="left"/>
            </w:pPr>
            <w:r>
              <w:t xml:space="preserve">0.232 (0.167–0.313)</w:t>
            </w:r>
          </w:p>
        </w:tc>
        <w:tc>
          <w:tcPr/>
          <w:p>
            <w:pPr>
              <w:pStyle w:val="Compact"/>
              <w:jc w:val="left"/>
            </w:pPr>
            <w:r>
              <w:t xml:space="preserve">0.200 (0.143–0.264)</w:t>
            </w:r>
          </w:p>
        </w:tc>
        <w:tc>
          <w:tcPr/>
          <w:p>
            <w:pPr>
              <w:pStyle w:val="Compact"/>
              <w:jc w:val="left"/>
            </w:pPr>
            <w:r>
              <w:t xml:space="preserve">0.140 (0.079–0.209)</w:t>
            </w:r>
          </w:p>
        </w:tc>
      </w:tr>
      <w:tr>
        <w:tc>
          <w:tcPr/>
          <w:p>
            <w:pPr>
              <w:pStyle w:val="Compact"/>
              <w:jc w:val="left"/>
            </w:pPr>
            <w:r>
              <w:t xml:space="preserve">ActionHead × Claude Opus 4.7</w:t>
            </w:r>
          </w:p>
        </w:tc>
        <w:tc>
          <w:tcPr/>
          <w:p>
            <w:pPr>
              <w:pStyle w:val="Compact"/>
              <w:jc w:val="left"/>
            </w:pPr>
            <w:r>
              <w:t xml:space="preserve">0.176 (0.125–0.241)</w:t>
            </w:r>
          </w:p>
        </w:tc>
        <w:tc>
          <w:tcPr/>
          <w:p>
            <w:pPr>
              <w:pStyle w:val="Compact"/>
              <w:jc w:val="left"/>
            </w:pPr>
            <w:r>
              <w:t xml:space="preserve">0.945 (0.934–0.954)</w:t>
            </w:r>
          </w:p>
        </w:tc>
        <w:tc>
          <w:tcPr/>
          <w:p>
            <w:pPr>
              <w:pStyle w:val="Compact"/>
              <w:jc w:val="left"/>
            </w:pPr>
            <w:r>
              <w:t xml:space="preserve">0.223 (0.160–0.302)</w:t>
            </w:r>
          </w:p>
        </w:tc>
        <w:tc>
          <w:tcPr/>
          <w:p>
            <w:pPr>
              <w:pStyle w:val="Compact"/>
              <w:jc w:val="left"/>
            </w:pPr>
            <w:r>
              <w:t xml:space="preserve">0.197 (0.143–0.257)</w:t>
            </w:r>
          </w:p>
        </w:tc>
        <w:tc>
          <w:tcPr/>
          <w:p>
            <w:pPr>
              <w:pStyle w:val="Compact"/>
              <w:jc w:val="left"/>
            </w:pPr>
            <w:r>
              <w:t xml:space="preserve">0.135 (0.076–0.199)</w:t>
            </w:r>
          </w:p>
        </w:tc>
      </w:tr>
      <w:tr>
        <w:tc>
          <w:tcPr/>
          <w:p>
            <w:pPr>
              <w:pStyle w:val="Compact"/>
              <w:jc w:val="left"/>
            </w:pPr>
            <w:r>
              <w:t xml:space="preserve">ActionHead × GPT-5.5 + RAG</w:t>
            </w:r>
          </w:p>
        </w:tc>
        <w:tc>
          <w:tcPr/>
          <w:p>
            <w:pPr>
              <w:pStyle w:val="Compact"/>
              <w:jc w:val="left"/>
            </w:pPr>
            <w:r>
              <w:t xml:space="preserve">0.164 (0.115–0.228)</w:t>
            </w:r>
          </w:p>
        </w:tc>
        <w:tc>
          <w:tcPr/>
          <w:p>
            <w:pPr>
              <w:pStyle w:val="Compact"/>
              <w:jc w:val="left"/>
            </w:pPr>
            <w:r>
              <w:t xml:space="preserve">0.960 (0.950–0.968)</w:t>
            </w:r>
          </w:p>
        </w:tc>
        <w:tc>
          <w:tcPr/>
          <w:p>
            <w:pPr>
              <w:pStyle w:val="Compact"/>
              <w:jc w:val="left"/>
            </w:pPr>
            <w:r>
              <w:t xml:space="preserve">0.270 (0.193–0.364)</w:t>
            </w:r>
          </w:p>
        </w:tc>
        <w:tc>
          <w:tcPr/>
          <w:p>
            <w:pPr>
              <w:pStyle w:val="Compact"/>
              <w:jc w:val="left"/>
            </w:pPr>
            <w:r>
              <w:t xml:space="preserve">0.204 (0.142–0.273)</w:t>
            </w:r>
          </w:p>
        </w:tc>
        <w:tc>
          <w:tcPr/>
          <w:p>
            <w:pPr>
              <w:pStyle w:val="Compact"/>
              <w:jc w:val="left"/>
            </w:pPr>
            <w:r>
              <w:t xml:space="preserve">0.156 (0.093–0.232)</w:t>
            </w:r>
          </w:p>
        </w:tc>
      </w:tr>
      <w:tr>
        <w:tc>
          <w:tcPr/>
          <w:p>
            <w:pPr>
              <w:pStyle w:val="Compact"/>
              <w:jc w:val="left"/>
            </w:pPr>
            <w:r>
              <w:t xml:space="preserve">Claude Opus 4.7 × XGBoost+SBERT</w:t>
            </w:r>
          </w:p>
        </w:tc>
        <w:tc>
          <w:tcPr/>
          <w:p>
            <w:pPr>
              <w:pStyle w:val="Compact"/>
              <w:jc w:val="left"/>
            </w:pPr>
            <w:r>
              <w:t xml:space="preserve">0.158 (0.110–0.221)</w:t>
            </w:r>
          </w:p>
        </w:tc>
        <w:tc>
          <w:tcPr/>
          <w:p>
            <w:pPr>
              <w:pStyle w:val="Compact"/>
              <w:jc w:val="left"/>
            </w:pPr>
            <w:r>
              <w:t xml:space="preserve">0.944 (0.932–0.954)</w:t>
            </w:r>
          </w:p>
        </w:tc>
        <w:tc>
          <w:tcPr/>
          <w:p>
            <w:pPr>
              <w:pStyle w:val="Compact"/>
              <w:jc w:val="left"/>
            </w:pPr>
            <w:r>
              <w:t xml:space="preserve">0.202 (0.141–0.279)</w:t>
            </w:r>
          </w:p>
        </w:tc>
        <w:tc>
          <w:tcPr/>
          <w:p>
            <w:pPr>
              <w:pStyle w:val="Compact"/>
              <w:jc w:val="left"/>
            </w:pPr>
            <w:r>
              <w:t xml:space="preserve">0.177 (0.124–0.238)</w:t>
            </w:r>
          </w:p>
        </w:tc>
        <w:tc>
          <w:tcPr/>
          <w:p>
            <w:pPr>
              <w:pStyle w:val="Compact"/>
              <w:jc w:val="left"/>
            </w:pPr>
            <w:r>
              <w:t xml:space="preserve">0.114 (0.056–0.180)</w:t>
            </w:r>
          </w:p>
        </w:tc>
      </w:tr>
      <w:tr>
        <w:tc>
          <w:tcPr/>
          <w:p>
            <w:pPr>
              <w:pStyle w:val="Compact"/>
              <w:jc w:val="left"/>
            </w:pPr>
            <w:r>
              <w:t xml:space="preserve">GPT-5.5 + RAG × XGBoost+SBERT</w:t>
            </w:r>
          </w:p>
        </w:tc>
        <w:tc>
          <w:tcPr/>
          <w:p>
            <w:pPr>
              <w:pStyle w:val="Compact"/>
              <w:jc w:val="left"/>
            </w:pPr>
            <w:r>
              <w:t xml:space="preserve">0.151 (0.105–0.214)</w:t>
            </w:r>
          </w:p>
        </w:tc>
        <w:tc>
          <w:tcPr/>
          <w:p>
            <w:pPr>
              <w:pStyle w:val="Compact"/>
              <w:jc w:val="left"/>
            </w:pPr>
            <w:r>
              <w:t xml:space="preserve">0.948 (0.937–0.957)</w:t>
            </w:r>
          </w:p>
        </w:tc>
        <w:tc>
          <w:tcPr/>
          <w:p>
            <w:pPr>
              <w:pStyle w:val="Compact"/>
              <w:jc w:val="left"/>
            </w:pPr>
            <w:r>
              <w:t xml:space="preserve">0.207 (0.144–0.287)</w:t>
            </w:r>
          </w:p>
        </w:tc>
        <w:tc>
          <w:tcPr/>
          <w:p>
            <w:pPr>
              <w:pStyle w:val="Compact"/>
              <w:jc w:val="left"/>
            </w:pPr>
            <w:r>
              <w:t xml:space="preserve">0.175 (0.119–0.239)</w:t>
            </w:r>
          </w:p>
        </w:tc>
        <w:tc>
          <w:tcPr/>
          <w:p>
            <w:pPr>
              <w:pStyle w:val="Compact"/>
              <w:jc w:val="left"/>
            </w:pPr>
            <w:r>
              <w:t xml:space="preserve">0.115 (0.055–0.182)</w:t>
            </w:r>
          </w:p>
        </w:tc>
      </w:tr>
      <w:tr>
        <w:tc>
          <w:tcPr/>
          <w:p>
            <w:pPr>
              <w:pStyle w:val="Compact"/>
              <w:jc w:val="left"/>
            </w:pPr>
            <w:r>
              <w:t xml:space="preserve">ActionHead × Claude 4.7 + RAG</w:t>
            </w:r>
          </w:p>
        </w:tc>
        <w:tc>
          <w:tcPr/>
          <w:p>
            <w:pPr>
              <w:pStyle w:val="Compact"/>
              <w:jc w:val="left"/>
            </w:pPr>
            <w:r>
              <w:t xml:space="preserve">0.139 (0.095–0.200)</w:t>
            </w:r>
          </w:p>
        </w:tc>
        <w:tc>
          <w:tcPr/>
          <w:p>
            <w:pPr>
              <w:pStyle w:val="Compact"/>
              <w:jc w:val="left"/>
            </w:pPr>
            <w:r>
              <w:t xml:space="preserve">0.964 (0.954–0.971)</w:t>
            </w:r>
          </w:p>
        </w:tc>
        <w:tc>
          <w:tcPr/>
          <w:p>
            <w:pPr>
              <w:pStyle w:val="Compact"/>
              <w:jc w:val="left"/>
            </w:pPr>
            <w:r>
              <w:t xml:space="preserve">0.256 (0.177–0.354)</w:t>
            </w:r>
          </w:p>
        </w:tc>
        <w:tc>
          <w:tcPr/>
          <w:p>
            <w:pPr>
              <w:pStyle w:val="Compact"/>
              <w:jc w:val="left"/>
            </w:pPr>
            <w:r>
              <w:t xml:space="preserve">0.180 (0.122–0.251)</w:t>
            </w:r>
          </w:p>
        </w:tc>
        <w:tc>
          <w:tcPr/>
          <w:p>
            <w:pPr>
              <w:pStyle w:val="Compact"/>
              <w:jc w:val="left"/>
            </w:pPr>
            <w:r>
              <w:t xml:space="preserve">0.137 (0.073–0.216)</w:t>
            </w:r>
          </w:p>
        </w:tc>
      </w:tr>
      <w:tr>
        <w:tc>
          <w:tcPr/>
          <w:p>
            <w:pPr>
              <w:pStyle w:val="Compact"/>
              <w:jc w:val="left"/>
            </w:pPr>
            <w:r>
              <w:t xml:space="preserve">Claude 4.7 + RAG × XGBoost+SBERT</w:t>
            </w:r>
          </w:p>
        </w:tc>
        <w:tc>
          <w:tcPr/>
          <w:p>
            <w:pPr>
              <w:pStyle w:val="Compact"/>
              <w:jc w:val="left"/>
            </w:pPr>
            <w:r>
              <w:t xml:space="preserve">0.115 (0.075–0.173)</w:t>
            </w:r>
          </w:p>
        </w:tc>
        <w:tc>
          <w:tcPr/>
          <w:p>
            <w:pPr>
              <w:pStyle w:val="Compact"/>
              <w:jc w:val="left"/>
            </w:pPr>
            <w:r>
              <w:t xml:space="preserve">0.954 (0.944–0.963)</w:t>
            </w:r>
          </w:p>
        </w:tc>
        <w:tc>
          <w:tcPr/>
          <w:p>
            <w:pPr>
              <w:pStyle w:val="Compact"/>
              <w:jc w:val="left"/>
            </w:pPr>
            <w:r>
              <w:t xml:space="preserve">0.184 (0.121–0.270)</w:t>
            </w:r>
          </w:p>
        </w:tc>
        <w:tc>
          <w:tcPr/>
          <w:p>
            <w:pPr>
              <w:pStyle w:val="Compact"/>
              <w:jc w:val="left"/>
            </w:pPr>
            <w:r>
              <w:t xml:space="preserve">0.142 (0.089–0.204)</w:t>
            </w:r>
          </w:p>
        </w:tc>
        <w:tc>
          <w:tcPr/>
          <w:p>
            <w:pPr>
              <w:pStyle w:val="Compact"/>
              <w:jc w:val="left"/>
            </w:pPr>
            <w:r>
              <w:t xml:space="preserve">0.086 (0.031–0.152)</w:t>
            </w:r>
          </w:p>
        </w:tc>
      </w:tr>
      <w:tr>
        <w:tc>
          <w:tcPr/>
          <w:p>
            <w:pPr>
              <w:pStyle w:val="Compact"/>
              <w:jc w:val="left"/>
            </w:pPr>
            <w:r>
              <w:t xml:space="preserve">Constellation × XGBoost+SBERT</w:t>
            </w:r>
          </w:p>
        </w:tc>
        <w:tc>
          <w:tcPr/>
          <w:p>
            <w:pPr>
              <w:pStyle w:val="Compact"/>
              <w:jc w:val="left"/>
            </w:pPr>
            <w:r>
              <w:t xml:space="preserve">0.067 (0.038–0.115)</w:t>
            </w:r>
          </w:p>
        </w:tc>
        <w:tc>
          <w:tcPr/>
          <w:p>
            <w:pPr>
              <w:pStyle w:val="Compact"/>
              <w:jc w:val="left"/>
            </w:pPr>
            <w:r>
              <w:t xml:space="preserve">0.982 (0.974–0.987)</w:t>
            </w:r>
          </w:p>
        </w:tc>
        <w:tc>
          <w:tcPr/>
          <w:p>
            <w:pPr>
              <w:pStyle w:val="Compact"/>
              <w:jc w:val="left"/>
            </w:pPr>
            <w:r>
              <w:t xml:space="preserve">0.244 (0.142–0.387)</w:t>
            </w:r>
          </w:p>
        </w:tc>
        <w:tc>
          <w:tcPr/>
          <w:p>
            <w:pPr>
              <w:pStyle w:val="Compact"/>
              <w:jc w:val="left"/>
            </w:pPr>
            <w:r>
              <w:t xml:space="preserve">0.105 (0.050–0.168)</w:t>
            </w:r>
          </w:p>
        </w:tc>
        <w:tc>
          <w:tcPr/>
          <w:p>
            <w:pPr>
              <w:pStyle w:val="Compact"/>
              <w:jc w:val="left"/>
            </w:pPr>
            <w:r>
              <w:t xml:space="preserve">0.089 (0.019–0.166)</w:t>
            </w:r>
          </w:p>
        </w:tc>
      </w:tr>
      <w:tr>
        <w:tc>
          <w:tcPr/>
          <w:p>
            <w:pPr>
              <w:pStyle w:val="Compact"/>
              <w:jc w:val="left"/>
            </w:pPr>
            <w:r>
              <w:t xml:space="preserve">Constellation × CQL reward-opt</w:t>
            </w:r>
          </w:p>
        </w:tc>
        <w:tc>
          <w:tcPr/>
          <w:p>
            <w:pPr>
              <w:pStyle w:val="Compact"/>
              <w:jc w:val="left"/>
            </w:pPr>
            <w:r>
              <w:t xml:space="preserve">0.067 (0.038–0.115)</w:t>
            </w:r>
          </w:p>
        </w:tc>
        <w:tc>
          <w:tcPr/>
          <w:p>
            <w:pPr>
              <w:pStyle w:val="Compact"/>
              <w:jc w:val="left"/>
            </w:pPr>
            <w:r>
              <w:t xml:space="preserve">0.972 (0.964–0.979)</w:t>
            </w:r>
          </w:p>
        </w:tc>
        <w:tc>
          <w:tcPr/>
          <w:p>
            <w:pPr>
              <w:pStyle w:val="Compact"/>
              <w:jc w:val="left"/>
            </w:pPr>
            <w:r>
              <w:t xml:space="preserve">0.177 (0.102–0.290)</w:t>
            </w:r>
          </w:p>
        </w:tc>
        <w:tc>
          <w:tcPr/>
          <w:p>
            <w:pPr>
              <w:pStyle w:val="Compact"/>
              <w:jc w:val="left"/>
            </w:pPr>
            <w:r>
              <w:t xml:space="preserve">0.097 (0.045–0.153)</w:t>
            </w:r>
          </w:p>
        </w:tc>
        <w:tc>
          <w:tcPr/>
          <w:p>
            <w:pPr>
              <w:pStyle w:val="Compact"/>
              <w:jc w:val="left"/>
            </w:pPr>
            <w:r>
              <w:t xml:space="preserve">0.062 (0.003–0.124)</w:t>
            </w:r>
          </w:p>
        </w:tc>
      </w:tr>
      <w:tr>
        <w:tc>
          <w:tcPr/>
          <w:p>
            <w:pPr>
              <w:pStyle w:val="Compact"/>
              <w:jc w:val="left"/>
            </w:pPr>
            <w:r>
              <w:t xml:space="preserve">Constellation × LogReg+TF-IDF</w:t>
            </w:r>
          </w:p>
        </w:tc>
        <w:tc>
          <w:tcPr/>
          <w:p>
            <w:pPr>
              <w:pStyle w:val="Compact"/>
              <w:jc w:val="left"/>
            </w:pPr>
            <w:r>
              <w:t xml:space="preserve">0.067 (0.038–0.115)</w:t>
            </w:r>
          </w:p>
        </w:tc>
        <w:tc>
          <w:tcPr/>
          <w:p>
            <w:pPr>
              <w:pStyle w:val="Compact"/>
              <w:jc w:val="left"/>
            </w:pPr>
            <w:r>
              <w:t xml:space="preserve">0.972 (0.964–0.979)</w:t>
            </w:r>
          </w:p>
        </w:tc>
        <w:tc>
          <w:tcPr/>
          <w:p>
            <w:pPr>
              <w:pStyle w:val="Compact"/>
              <w:jc w:val="left"/>
            </w:pPr>
            <w:r>
              <w:t xml:space="preserve">0.177 (0.102–0.290)</w:t>
            </w:r>
          </w:p>
        </w:tc>
        <w:tc>
          <w:tcPr/>
          <w:p>
            <w:pPr>
              <w:pStyle w:val="Compact"/>
              <w:jc w:val="left"/>
            </w:pPr>
            <w:r>
              <w:t xml:space="preserve">0.097 (0.045–0.153)</w:t>
            </w:r>
          </w:p>
        </w:tc>
        <w:tc>
          <w:tcPr/>
          <w:p>
            <w:pPr>
              <w:pStyle w:val="Compact"/>
              <w:jc w:val="left"/>
            </w:pPr>
            <w:r>
              <w:t xml:space="preserve">0.062 (0.003–0.124)</w:t>
            </w:r>
          </w:p>
        </w:tc>
      </w:tr>
      <w:tr>
        <w:tc>
          <w:tcPr/>
          <w:p>
            <w:pPr>
              <w:pStyle w:val="Compact"/>
              <w:jc w:val="left"/>
            </w:pPr>
            <w:r>
              <w:t xml:space="preserve">CQL reward-opt × Guardrails</w:t>
            </w:r>
          </w:p>
        </w:tc>
        <w:tc>
          <w:tcPr/>
          <w:p>
            <w:pPr>
              <w:pStyle w:val="Compact"/>
              <w:jc w:val="left"/>
            </w:pPr>
            <w:r>
              <w:t xml:space="preserve">0.061 (0.033–0.108)</w:t>
            </w:r>
          </w:p>
        </w:tc>
        <w:tc>
          <w:tcPr/>
          <w:p>
            <w:pPr>
              <w:pStyle w:val="Compact"/>
              <w:jc w:val="left"/>
            </w:pPr>
            <w:r>
              <w:t xml:space="preserve">0.983 (0.976–0.988)</w:t>
            </w:r>
          </w:p>
        </w:tc>
        <w:tc>
          <w:tcPr/>
          <w:p>
            <w:pPr>
              <w:pStyle w:val="Compact"/>
              <w:jc w:val="left"/>
            </w:pPr>
            <w:r>
              <w:t xml:space="preserve">0.244 (0.138–0.393)</w:t>
            </w:r>
          </w:p>
        </w:tc>
        <w:tc>
          <w:tcPr/>
          <w:p>
            <w:pPr>
              <w:pStyle w:val="Compact"/>
              <w:jc w:val="left"/>
            </w:pPr>
            <w:r>
              <w:t xml:space="preserve">0.097 (0.041–0.157)</w:t>
            </w:r>
          </w:p>
        </w:tc>
        <w:tc>
          <w:tcPr/>
          <w:p>
            <w:pPr>
              <w:pStyle w:val="Compact"/>
              <w:jc w:val="left"/>
            </w:pPr>
            <w:r>
              <w:t xml:space="preserve">0.085 (0.014–0.155)</w:t>
            </w:r>
          </w:p>
        </w:tc>
      </w:tr>
      <w:tr>
        <w:tc>
          <w:tcPr/>
          <w:p>
            <w:pPr>
              <w:pStyle w:val="Compact"/>
              <w:jc w:val="left"/>
            </w:pPr>
            <w:r>
              <w:t xml:space="preserve">Guardrails × LogReg+TF-IDF</w:t>
            </w:r>
          </w:p>
        </w:tc>
        <w:tc>
          <w:tcPr/>
          <w:p>
            <w:pPr>
              <w:pStyle w:val="Compact"/>
              <w:jc w:val="left"/>
            </w:pPr>
            <w:r>
              <w:t xml:space="preserve">0.061 (0.033–0.108)</w:t>
            </w:r>
          </w:p>
        </w:tc>
        <w:tc>
          <w:tcPr/>
          <w:p>
            <w:pPr>
              <w:pStyle w:val="Compact"/>
              <w:jc w:val="left"/>
            </w:pPr>
            <w:r>
              <w:t xml:space="preserve">0.983 (0.975–0.988)</w:t>
            </w:r>
          </w:p>
        </w:tc>
        <w:tc>
          <w:tcPr/>
          <w:p>
            <w:pPr>
              <w:pStyle w:val="Compact"/>
              <w:jc w:val="left"/>
            </w:pPr>
            <w:r>
              <w:t xml:space="preserve">0.238 (0.135–0.385)</w:t>
            </w:r>
          </w:p>
        </w:tc>
        <w:tc>
          <w:tcPr/>
          <w:p>
            <w:pPr>
              <w:pStyle w:val="Compact"/>
              <w:jc w:val="left"/>
            </w:pPr>
            <w:r>
              <w:t xml:space="preserve">0.097 (0.046–0.152)</w:t>
            </w:r>
          </w:p>
        </w:tc>
        <w:tc>
          <w:tcPr/>
          <w:p>
            <w:pPr>
              <w:pStyle w:val="Compact"/>
              <w:jc w:val="left"/>
            </w:pPr>
            <w:r>
              <w:t xml:space="preserve">0.083 (0.014–0.154)</w:t>
            </w:r>
          </w:p>
        </w:tc>
      </w:tr>
      <w:tr>
        <w:tc>
          <w:tcPr/>
          <w:p>
            <w:pPr>
              <w:pStyle w:val="Compact"/>
              <w:jc w:val="left"/>
            </w:pPr>
            <w:r>
              <w:t xml:space="preserve">Constellation × GPT-5.5</w:t>
            </w:r>
          </w:p>
        </w:tc>
        <w:tc>
          <w:tcPr/>
          <w:p>
            <w:pPr>
              <w:pStyle w:val="Compact"/>
              <w:jc w:val="left"/>
            </w:pPr>
            <w:r>
              <w:t xml:space="preserve">0.049 (0.025–0.093)</w:t>
            </w:r>
          </w:p>
        </w:tc>
        <w:tc>
          <w:tcPr/>
          <w:p>
            <w:pPr>
              <w:pStyle w:val="Compact"/>
              <w:jc w:val="left"/>
            </w:pPr>
            <w:r>
              <w:t xml:space="preserve">0.986 (0.979–0.990)</w:t>
            </w:r>
          </w:p>
        </w:tc>
        <w:tc>
          <w:tcPr/>
          <w:p>
            <w:pPr>
              <w:pStyle w:val="Compact"/>
              <w:jc w:val="left"/>
            </w:pPr>
            <w:r>
              <w:t xml:space="preserve">0.235 (0.124–0.400)</w:t>
            </w:r>
          </w:p>
        </w:tc>
        <w:tc>
          <w:tcPr/>
          <w:p>
            <w:pPr>
              <w:pStyle w:val="Compact"/>
              <w:jc w:val="left"/>
            </w:pPr>
            <w:r>
              <w:t xml:space="preserve">0.080 (0.031–0.129)</w:t>
            </w:r>
          </w:p>
        </w:tc>
        <w:tc>
          <w:tcPr/>
          <w:p>
            <w:pPr>
              <w:pStyle w:val="Compact"/>
              <w:jc w:val="left"/>
            </w:pPr>
            <w:r>
              <w:t xml:space="preserve">0.073 (0.007–0.134)</w:t>
            </w:r>
          </w:p>
        </w:tc>
      </w:tr>
      <w:tr>
        <w:tc>
          <w:tcPr/>
          <w:p>
            <w:pPr>
              <w:pStyle w:val="Compact"/>
              <w:jc w:val="left"/>
            </w:pPr>
            <w:r>
              <w:t xml:space="preserve">ActionHead × Constellation</w:t>
            </w:r>
          </w:p>
        </w:tc>
        <w:tc>
          <w:tcPr/>
          <w:p>
            <w:pPr>
              <w:pStyle w:val="Compact"/>
              <w:jc w:val="left"/>
            </w:pPr>
            <w:r>
              <w:t xml:space="preserve">0.049 (0.025–0.093)</w:t>
            </w:r>
          </w:p>
        </w:tc>
        <w:tc>
          <w:tcPr/>
          <w:p>
            <w:pPr>
              <w:pStyle w:val="Compact"/>
              <w:jc w:val="left"/>
            </w:pPr>
            <w:r>
              <w:t xml:space="preserve">0.981 (0.974–0.986)</w:t>
            </w:r>
          </w:p>
        </w:tc>
        <w:tc>
          <w:tcPr/>
          <w:p>
            <w:pPr>
              <w:pStyle w:val="Compact"/>
              <w:jc w:val="left"/>
            </w:pPr>
            <w:r>
              <w:t xml:space="preserve">0.186 (0.097–0.326)</w:t>
            </w:r>
          </w:p>
        </w:tc>
        <w:tc>
          <w:tcPr/>
          <w:p>
            <w:pPr>
              <w:pStyle w:val="Compact"/>
              <w:jc w:val="left"/>
            </w:pPr>
            <w:r>
              <w:t xml:space="preserve">0.077 (0.030–0.133)</w:t>
            </w:r>
          </w:p>
        </w:tc>
        <w:tc>
          <w:tcPr/>
          <w:p>
            <w:pPr>
              <w:pStyle w:val="Compact"/>
              <w:jc w:val="left"/>
            </w:pPr>
            <w:r>
              <w:t xml:space="preserve">0.056 (-0.003–0.126)</w:t>
            </w:r>
          </w:p>
        </w:tc>
      </w:tr>
      <w:tr>
        <w:tc>
          <w:tcPr/>
          <w:p>
            <w:pPr>
              <w:pStyle w:val="Compact"/>
              <w:jc w:val="left"/>
            </w:pPr>
            <w:r>
              <w:t xml:space="preserve">Guardrails × XGBoost+SBERT</w:t>
            </w:r>
          </w:p>
        </w:tc>
        <w:tc>
          <w:tcPr/>
          <w:p>
            <w:pPr>
              <w:pStyle w:val="Compact"/>
              <w:jc w:val="left"/>
            </w:pPr>
            <w:r>
              <w:t xml:space="preserve">0.042 (0.021–0.085)</w:t>
            </w:r>
          </w:p>
        </w:tc>
        <w:tc>
          <w:tcPr/>
          <w:p>
            <w:pPr>
              <w:pStyle w:val="Compact"/>
              <w:jc w:val="left"/>
            </w:pPr>
            <w:r>
              <w:t xml:space="preserve">0.992 (0.987–0.995)</w:t>
            </w:r>
          </w:p>
        </w:tc>
        <w:tc>
          <w:tcPr/>
          <w:p>
            <w:pPr>
              <w:pStyle w:val="Compact"/>
              <w:jc w:val="left"/>
            </w:pPr>
            <w:r>
              <w:t xml:space="preserve">0.318 (0.164–0.527)</w:t>
            </w:r>
          </w:p>
        </w:tc>
        <w:tc>
          <w:tcPr/>
          <w:p>
            <w:pPr>
              <w:pStyle w:val="Compact"/>
              <w:jc w:val="left"/>
            </w:pPr>
            <w:r>
              <w:t xml:space="preserve">0.075 (0.022–0.124)</w:t>
            </w:r>
          </w:p>
        </w:tc>
        <w:tc>
          <w:tcPr/>
          <w:p>
            <w:pPr>
              <w:pStyle w:val="Compact"/>
              <w:jc w:val="left"/>
            </w:pPr>
            <w:r>
              <w:t xml:space="preserve">0.090 (0.012–0.157)</w:t>
            </w:r>
          </w:p>
        </w:tc>
      </w:tr>
      <w:tr>
        <w:tc>
          <w:tcPr/>
          <w:p>
            <w:pPr>
              <w:pStyle w:val="Compact"/>
              <w:jc w:val="left"/>
            </w:pPr>
            <w:r>
              <w:t xml:space="preserve">Claude Opus 4.7 × Constellation</w:t>
            </w:r>
          </w:p>
        </w:tc>
        <w:tc>
          <w:tcPr/>
          <w:p>
            <w:pPr>
              <w:pStyle w:val="Compact"/>
              <w:jc w:val="left"/>
            </w:pPr>
            <w:r>
              <w:t xml:space="preserve">0.042 (0.021–0.085)</w:t>
            </w:r>
          </w:p>
        </w:tc>
        <w:tc>
          <w:tcPr/>
          <w:p>
            <w:pPr>
              <w:pStyle w:val="Compact"/>
              <w:jc w:val="left"/>
            </w:pPr>
            <w:r>
              <w:t xml:space="preserve">0.986 (0.980–0.991)</w:t>
            </w:r>
          </w:p>
        </w:tc>
        <w:tc>
          <w:tcPr/>
          <w:p>
            <w:pPr>
              <w:pStyle w:val="Compact"/>
              <w:jc w:val="left"/>
            </w:pPr>
            <w:r>
              <w:t xml:space="preserve">0.219 (0.110–0.388)</w:t>
            </w:r>
          </w:p>
        </w:tc>
        <w:tc>
          <w:tcPr/>
          <w:p>
            <w:pPr>
              <w:pStyle w:val="Compact"/>
              <w:jc w:val="left"/>
            </w:pPr>
            <w:r>
              <w:t xml:space="preserve">0.071 (0.021–0.118)</w:t>
            </w:r>
          </w:p>
        </w:tc>
        <w:tc>
          <w:tcPr/>
          <w:p>
            <w:pPr>
              <w:pStyle w:val="Compact"/>
              <w:jc w:val="left"/>
            </w:pPr>
            <w:r>
              <w:t xml:space="preserve">0.063 (-0.003–0.123)</w:t>
            </w:r>
          </w:p>
        </w:tc>
      </w:tr>
      <w:tr>
        <w:tc>
          <w:tcPr/>
          <w:p>
            <w:pPr>
              <w:pStyle w:val="Compact"/>
              <w:jc w:val="left"/>
            </w:pPr>
            <w:r>
              <w:t xml:space="preserve">GPT-5.5 + RAG × Guardrails</w:t>
            </w:r>
          </w:p>
        </w:tc>
        <w:tc>
          <w:tcPr/>
          <w:p>
            <w:pPr>
              <w:pStyle w:val="Compact"/>
              <w:jc w:val="left"/>
            </w:pPr>
            <w:r>
              <w:t xml:space="preserve">0.036 (0.017–0.077)</w:t>
            </w:r>
          </w:p>
        </w:tc>
        <w:tc>
          <w:tcPr/>
          <w:p>
            <w:pPr>
              <w:pStyle w:val="Compact"/>
              <w:jc w:val="left"/>
            </w:pPr>
            <w:r>
              <w:t xml:space="preserve">0.991 (0.985–0.994)</w:t>
            </w:r>
          </w:p>
        </w:tc>
        <w:tc>
          <w:tcPr/>
          <w:p>
            <w:pPr>
              <w:pStyle w:val="Compact"/>
              <w:jc w:val="left"/>
            </w:pPr>
            <w:r>
              <w:t xml:space="preserve">0.261 (0.125–0.465)</w:t>
            </w:r>
          </w:p>
        </w:tc>
        <w:tc>
          <w:tcPr/>
          <w:p>
            <w:pPr>
              <w:pStyle w:val="Compact"/>
              <w:jc w:val="left"/>
            </w:pPr>
            <w:r>
              <w:t xml:space="preserve">0.064 (0.021–0.112)</w:t>
            </w:r>
          </w:p>
        </w:tc>
        <w:tc>
          <w:tcPr/>
          <w:p>
            <w:pPr>
              <w:pStyle w:val="Compact"/>
              <w:jc w:val="left"/>
            </w:pPr>
            <w:r>
              <w:t xml:space="preserve">0.070 (-0.000–0.133)</w:t>
            </w:r>
          </w:p>
        </w:tc>
      </w:tr>
      <w:tr>
        <w:tc>
          <w:tcPr/>
          <w:p>
            <w:pPr>
              <w:pStyle w:val="Compact"/>
              <w:jc w:val="left"/>
            </w:pPr>
            <w:r>
              <w:t xml:space="preserve">Constellation × GPT-5.5 + RAG</w:t>
            </w:r>
          </w:p>
        </w:tc>
        <w:tc>
          <w:tcPr/>
          <w:p>
            <w:pPr>
              <w:pStyle w:val="Compact"/>
              <w:jc w:val="left"/>
            </w:pPr>
            <w:r>
              <w:t xml:space="preserve">0.036 (0.017–0.077)</w:t>
            </w:r>
          </w:p>
        </w:tc>
        <w:tc>
          <w:tcPr/>
          <w:p>
            <w:pPr>
              <w:pStyle w:val="Compact"/>
              <w:jc w:val="left"/>
            </w:pPr>
            <w:r>
              <w:t xml:space="preserve">0.988 (0.981–0.992)</w:t>
            </w:r>
          </w:p>
        </w:tc>
        <w:tc>
          <w:tcPr/>
          <w:p>
            <w:pPr>
              <w:pStyle w:val="Compact"/>
              <w:jc w:val="left"/>
            </w:pPr>
            <w:r>
              <w:t xml:space="preserve">0.207 (0.098–0.384)</w:t>
            </w:r>
          </w:p>
        </w:tc>
        <w:tc>
          <w:tcPr/>
          <w:p>
            <w:pPr>
              <w:pStyle w:val="Compact"/>
              <w:jc w:val="left"/>
            </w:pPr>
            <w:r>
              <w:t xml:space="preserve">0.062 (0.020–0.108)</w:t>
            </w:r>
          </w:p>
        </w:tc>
        <w:tc>
          <w:tcPr/>
          <w:p>
            <w:pPr>
              <w:pStyle w:val="Compact"/>
              <w:jc w:val="left"/>
            </w:pPr>
            <w:r>
              <w:t xml:space="preserve">0.055 (-0.008–0.114)</w:t>
            </w:r>
          </w:p>
        </w:tc>
      </w:tr>
      <w:tr>
        <w:tc>
          <w:tcPr/>
          <w:p>
            <w:pPr>
              <w:pStyle w:val="Compact"/>
              <w:jc w:val="left"/>
            </w:pPr>
            <w:r>
              <w:t xml:space="preserve">Claude Opus 4.7 × Guardrails</w:t>
            </w:r>
          </w:p>
        </w:tc>
        <w:tc>
          <w:tcPr/>
          <w:p>
            <w:pPr>
              <w:pStyle w:val="Compact"/>
              <w:jc w:val="left"/>
            </w:pPr>
            <w:r>
              <w:t xml:space="preserve">0.030 (0.013–0.069)</w:t>
            </w:r>
          </w:p>
        </w:tc>
        <w:tc>
          <w:tcPr/>
          <w:p>
            <w:pPr>
              <w:pStyle w:val="Compact"/>
              <w:jc w:val="left"/>
            </w:pPr>
            <w:r>
              <w:t xml:space="preserve">0.989 (0.983–0.993)</w:t>
            </w:r>
          </w:p>
        </w:tc>
        <w:tc>
          <w:tcPr/>
          <w:p>
            <w:pPr>
              <w:pStyle w:val="Compact"/>
              <w:jc w:val="left"/>
            </w:pPr>
            <w:r>
              <w:t xml:space="preserve">0.200 (0.089–0.391)</w:t>
            </w:r>
          </w:p>
        </w:tc>
        <w:tc>
          <w:tcPr/>
          <w:p>
            <w:pPr>
              <w:pStyle w:val="Compact"/>
              <w:jc w:val="left"/>
            </w:pPr>
            <w:r>
              <w:t xml:space="preserve">0.053 (0.011–0.094)</w:t>
            </w:r>
          </w:p>
        </w:tc>
        <w:tc>
          <w:tcPr/>
          <w:p>
            <w:pPr>
              <w:pStyle w:val="Compact"/>
              <w:jc w:val="left"/>
            </w:pPr>
            <w:r>
              <w:t xml:space="preserve">0.048 (-0.014–0.105)</w:t>
            </w:r>
          </w:p>
        </w:tc>
      </w:tr>
      <w:tr>
        <w:tc>
          <w:tcPr/>
          <w:p>
            <w:pPr>
              <w:pStyle w:val="Compact"/>
              <w:jc w:val="left"/>
            </w:pPr>
            <w:r>
              <w:t xml:space="preserve">GPT-5.5 × Guardrails</w:t>
            </w:r>
          </w:p>
        </w:tc>
        <w:tc>
          <w:tcPr/>
          <w:p>
            <w:pPr>
              <w:pStyle w:val="Compact"/>
              <w:jc w:val="left"/>
            </w:pPr>
            <w:r>
              <w:t xml:space="preserve">0.030 (0.013–0.069)</w:t>
            </w:r>
          </w:p>
        </w:tc>
        <w:tc>
          <w:tcPr/>
          <w:p>
            <w:pPr>
              <w:pStyle w:val="Compact"/>
              <w:jc w:val="left"/>
            </w:pPr>
            <w:r>
              <w:t xml:space="preserve">0.989 (0.983–0.993)</w:t>
            </w:r>
          </w:p>
        </w:tc>
        <w:tc>
          <w:tcPr/>
          <w:p>
            <w:pPr>
              <w:pStyle w:val="Compact"/>
              <w:jc w:val="left"/>
            </w:pPr>
            <w:r>
              <w:t xml:space="preserve">0.200 (0.089–0.391)</w:t>
            </w:r>
          </w:p>
        </w:tc>
        <w:tc>
          <w:tcPr/>
          <w:p>
            <w:pPr>
              <w:pStyle w:val="Compact"/>
              <w:jc w:val="left"/>
            </w:pPr>
            <w:r>
              <w:t xml:space="preserve">0.053 (0.011–0.094)</w:t>
            </w:r>
          </w:p>
        </w:tc>
        <w:tc>
          <w:tcPr/>
          <w:p>
            <w:pPr>
              <w:pStyle w:val="Compact"/>
              <w:jc w:val="left"/>
            </w:pPr>
            <w:r>
              <w:t xml:space="preserve">0.048 (-0.014–0.105)</w:t>
            </w:r>
          </w:p>
        </w:tc>
      </w:tr>
      <w:tr>
        <w:tc>
          <w:tcPr/>
          <w:p>
            <w:pPr>
              <w:pStyle w:val="Compact"/>
              <w:jc w:val="left"/>
            </w:pPr>
            <w:r>
              <w:t xml:space="preserve">CQL sens-opt × XGBoost+SBERT</w:t>
            </w:r>
          </w:p>
        </w:tc>
        <w:tc>
          <w:tcPr/>
          <w:p>
            <w:pPr>
              <w:pStyle w:val="Compact"/>
              <w:jc w:val="left"/>
            </w:pPr>
            <w:r>
              <w:t xml:space="preserve">0.024 (0.009–0.061)</w:t>
            </w:r>
          </w:p>
        </w:tc>
        <w:tc>
          <w:tcPr/>
          <w:p>
            <w:pPr>
              <w:pStyle w:val="Compact"/>
              <w:jc w:val="left"/>
            </w:pPr>
            <w:r>
              <w:t xml:space="preserve">0.998 (0.994–0.999)</w:t>
            </w:r>
          </w:p>
        </w:tc>
        <w:tc>
          <w:tcPr/>
          <w:p>
            <w:pPr>
              <w:pStyle w:val="Compact"/>
              <w:jc w:val="left"/>
            </w:pPr>
            <w:r>
              <w:t xml:space="preserve">0.500 (0.215–0.785)</w:t>
            </w:r>
          </w:p>
        </w:tc>
        <w:tc>
          <w:tcPr/>
          <w:p>
            <w:pPr>
              <w:pStyle w:val="Compact"/>
              <w:jc w:val="left"/>
            </w:pPr>
            <w:r>
              <w:t xml:space="preserve">0.046 (0.011–0.090)</w:t>
            </w:r>
          </w:p>
        </w:tc>
        <w:tc>
          <w:tcPr/>
          <w:p>
            <w:pPr>
              <w:pStyle w:val="Compact"/>
              <w:jc w:val="left"/>
            </w:pPr>
            <w:r>
              <w:t xml:space="preserve">0.096 (0.006–0.170)</w:t>
            </w:r>
          </w:p>
        </w:tc>
      </w:tr>
      <w:tr>
        <w:tc>
          <w:tcPr/>
          <w:p>
            <w:pPr>
              <w:pStyle w:val="Compact"/>
              <w:jc w:val="left"/>
            </w:pPr>
            <w:r>
              <w:t xml:space="preserve">ActionHead × CQL sens-opt</w:t>
            </w:r>
          </w:p>
        </w:tc>
        <w:tc>
          <w:tcPr/>
          <w:p>
            <w:pPr>
              <w:pStyle w:val="Compact"/>
              <w:jc w:val="left"/>
            </w:pPr>
            <w:r>
              <w:t xml:space="preserve">0.024 (0.009–0.061)</w:t>
            </w:r>
          </w:p>
        </w:tc>
        <w:tc>
          <w:tcPr/>
          <w:p>
            <w:pPr>
              <w:pStyle w:val="Compact"/>
              <w:jc w:val="left"/>
            </w:pPr>
            <w:r>
              <w:t xml:space="preserve">0.997 (0.993–0.999)</w:t>
            </w:r>
          </w:p>
        </w:tc>
        <w:tc>
          <w:tcPr/>
          <w:p>
            <w:pPr>
              <w:pStyle w:val="Compact"/>
              <w:jc w:val="left"/>
            </w:pPr>
            <w:r>
              <w:t xml:space="preserve">0.400 (0.168–0.687)</w:t>
            </w:r>
          </w:p>
        </w:tc>
        <w:tc>
          <w:tcPr/>
          <w:p>
            <w:pPr>
              <w:pStyle w:val="Compact"/>
              <w:jc w:val="left"/>
            </w:pPr>
            <w:r>
              <w:t xml:space="preserve">0.046 (0.011–0.089)</w:t>
            </w:r>
          </w:p>
        </w:tc>
        <w:tc>
          <w:tcPr/>
          <w:p>
            <w:pPr>
              <w:pStyle w:val="Compact"/>
              <w:jc w:val="left"/>
            </w:pPr>
            <w:r>
              <w:t xml:space="preserve">0.082 (-0.001–0.152)</w:t>
            </w:r>
          </w:p>
        </w:tc>
      </w:tr>
      <w:tr>
        <w:tc>
          <w:tcPr/>
          <w:p>
            <w:pPr>
              <w:pStyle w:val="Compact"/>
              <w:jc w:val="left"/>
            </w:pPr>
            <w:r>
              <w:t xml:space="preserve">Constellation × CQL sens-opt</w:t>
            </w:r>
          </w:p>
        </w:tc>
        <w:tc>
          <w:tcPr/>
          <w:p>
            <w:pPr>
              <w:pStyle w:val="Compact"/>
              <w:jc w:val="left"/>
            </w:pPr>
            <w:r>
              <w:t xml:space="preserve">0.024 (0.009–0.061)</w:t>
            </w:r>
          </w:p>
        </w:tc>
        <w:tc>
          <w:tcPr/>
          <w:p>
            <w:pPr>
              <w:pStyle w:val="Compact"/>
              <w:jc w:val="left"/>
            </w:pPr>
            <w:r>
              <w:t xml:space="preserve">0.997 (0.993–0.999)</w:t>
            </w:r>
          </w:p>
        </w:tc>
        <w:tc>
          <w:tcPr/>
          <w:p>
            <w:pPr>
              <w:pStyle w:val="Compact"/>
              <w:jc w:val="left"/>
            </w:pPr>
            <w:r>
              <w:t xml:space="preserve">0.400 (0.168–0.687)</w:t>
            </w:r>
          </w:p>
        </w:tc>
        <w:tc>
          <w:tcPr/>
          <w:p>
            <w:pPr>
              <w:pStyle w:val="Compact"/>
              <w:jc w:val="left"/>
            </w:pPr>
            <w:r>
              <w:t xml:space="preserve">0.046 (0.011–0.089)</w:t>
            </w:r>
          </w:p>
        </w:tc>
        <w:tc>
          <w:tcPr/>
          <w:p>
            <w:pPr>
              <w:pStyle w:val="Compact"/>
              <w:jc w:val="left"/>
            </w:pPr>
            <w:r>
              <w:t xml:space="preserve">0.082 (-0.001–0.152)</w:t>
            </w:r>
          </w:p>
        </w:tc>
      </w:tr>
      <w:tr>
        <w:tc>
          <w:tcPr/>
          <w:p>
            <w:pPr>
              <w:pStyle w:val="Compact"/>
              <w:jc w:val="left"/>
            </w:pPr>
            <w:r>
              <w:t xml:space="preserve">CQL reward-opt × CQL sens-opt</w:t>
            </w:r>
          </w:p>
        </w:tc>
        <w:tc>
          <w:tcPr/>
          <w:p>
            <w:pPr>
              <w:pStyle w:val="Compact"/>
              <w:jc w:val="left"/>
            </w:pPr>
            <w:r>
              <w:t xml:space="preserve">0.024 (0.009–0.061)</w:t>
            </w:r>
          </w:p>
        </w:tc>
        <w:tc>
          <w:tcPr/>
          <w:p>
            <w:pPr>
              <w:pStyle w:val="Compact"/>
              <w:jc w:val="left"/>
            </w:pPr>
            <w:r>
              <w:t xml:space="preserve">0.997 (0.993–0.999)</w:t>
            </w:r>
          </w:p>
        </w:tc>
        <w:tc>
          <w:tcPr/>
          <w:p>
            <w:pPr>
              <w:pStyle w:val="Compact"/>
              <w:jc w:val="left"/>
            </w:pPr>
            <w:r>
              <w:t xml:space="preserve">0.400 (0.168–0.687)</w:t>
            </w:r>
          </w:p>
        </w:tc>
        <w:tc>
          <w:tcPr/>
          <w:p>
            <w:pPr>
              <w:pStyle w:val="Compact"/>
              <w:jc w:val="left"/>
            </w:pPr>
            <w:r>
              <w:t xml:space="preserve">0.046 (0.011–0.089)</w:t>
            </w:r>
          </w:p>
        </w:tc>
        <w:tc>
          <w:tcPr/>
          <w:p>
            <w:pPr>
              <w:pStyle w:val="Compact"/>
              <w:jc w:val="left"/>
            </w:pPr>
            <w:r>
              <w:t xml:space="preserve">0.082 (-0.001–0.152)</w:t>
            </w:r>
          </w:p>
        </w:tc>
      </w:tr>
      <w:tr>
        <w:tc>
          <w:tcPr/>
          <w:p>
            <w:pPr>
              <w:pStyle w:val="Compact"/>
              <w:jc w:val="left"/>
            </w:pPr>
            <w:r>
              <w:t xml:space="preserve">CQL sens-opt × LogReg+TF-IDF</w:t>
            </w:r>
          </w:p>
        </w:tc>
        <w:tc>
          <w:tcPr/>
          <w:p>
            <w:pPr>
              <w:pStyle w:val="Compact"/>
              <w:jc w:val="left"/>
            </w:pPr>
            <w:r>
              <w:t xml:space="preserve">0.024 (0.009–0.061)</w:t>
            </w:r>
          </w:p>
        </w:tc>
        <w:tc>
          <w:tcPr/>
          <w:p>
            <w:pPr>
              <w:pStyle w:val="Compact"/>
              <w:jc w:val="left"/>
            </w:pPr>
            <w:r>
              <w:t xml:space="preserve">0.997 (0.993–0.999)</w:t>
            </w:r>
          </w:p>
        </w:tc>
        <w:tc>
          <w:tcPr/>
          <w:p>
            <w:pPr>
              <w:pStyle w:val="Compact"/>
              <w:jc w:val="left"/>
            </w:pPr>
            <w:r>
              <w:t xml:space="preserve">0.400 (0.168–0.687)</w:t>
            </w:r>
          </w:p>
        </w:tc>
        <w:tc>
          <w:tcPr/>
          <w:p>
            <w:pPr>
              <w:pStyle w:val="Compact"/>
              <w:jc w:val="left"/>
            </w:pPr>
            <w:r>
              <w:t xml:space="preserve">0.046 (0.011–0.089)</w:t>
            </w:r>
          </w:p>
        </w:tc>
        <w:tc>
          <w:tcPr/>
          <w:p>
            <w:pPr>
              <w:pStyle w:val="Compact"/>
              <w:jc w:val="left"/>
            </w:pPr>
            <w:r>
              <w:t xml:space="preserve">0.082 (-0.001–0.152)</w:t>
            </w:r>
          </w:p>
        </w:tc>
      </w:tr>
      <w:tr>
        <w:tc>
          <w:tcPr/>
          <w:p>
            <w:pPr>
              <w:pStyle w:val="Compact"/>
              <w:jc w:val="left"/>
            </w:pPr>
            <w:r>
              <w:t xml:space="preserve">ActionHead × Guardrails</w:t>
            </w:r>
          </w:p>
        </w:tc>
        <w:tc>
          <w:tcPr/>
          <w:p>
            <w:pPr>
              <w:pStyle w:val="Compact"/>
              <w:jc w:val="left"/>
            </w:pPr>
            <w:r>
              <w:t xml:space="preserve">0.024 (0.009–0.061)</w:t>
            </w:r>
          </w:p>
        </w:tc>
        <w:tc>
          <w:tcPr/>
          <w:p>
            <w:pPr>
              <w:pStyle w:val="Compact"/>
              <w:jc w:val="left"/>
            </w:pPr>
            <w:r>
              <w:t xml:space="preserve">0.994 (0.989–0.996)</w:t>
            </w:r>
          </w:p>
        </w:tc>
        <w:tc>
          <w:tcPr/>
          <w:p>
            <w:pPr>
              <w:pStyle w:val="Compact"/>
              <w:jc w:val="left"/>
            </w:pPr>
            <w:r>
              <w:t xml:space="preserve">0.250 (0.102–0.495)</w:t>
            </w:r>
          </w:p>
        </w:tc>
        <w:tc>
          <w:tcPr/>
          <w:p>
            <w:pPr>
              <w:pStyle w:val="Compact"/>
              <w:jc w:val="left"/>
            </w:pPr>
            <w:r>
              <w:t xml:space="preserve">0.044 (0.011–0.085)</w:t>
            </w:r>
          </w:p>
        </w:tc>
        <w:tc>
          <w:tcPr/>
          <w:p>
            <w:pPr>
              <w:pStyle w:val="Compact"/>
              <w:jc w:val="left"/>
            </w:pPr>
            <w:r>
              <w:t xml:space="preserve">0.055 (-0.012–0.119)</w:t>
            </w:r>
          </w:p>
        </w:tc>
      </w:tr>
      <w:tr>
        <w:tc>
          <w:tcPr/>
          <w:p>
            <w:pPr>
              <w:pStyle w:val="Compact"/>
              <w:jc w:val="left"/>
            </w:pPr>
            <w:r>
              <w:t xml:space="preserve">Claude 4.7 + RAG × Guardrails</w:t>
            </w:r>
          </w:p>
        </w:tc>
        <w:tc>
          <w:tcPr/>
          <w:p>
            <w:pPr>
              <w:pStyle w:val="Compact"/>
              <w:jc w:val="left"/>
            </w:pPr>
            <w:r>
              <w:t xml:space="preserve">0.024 (0.009–0.061)</w:t>
            </w:r>
          </w:p>
        </w:tc>
        <w:tc>
          <w:tcPr/>
          <w:p>
            <w:pPr>
              <w:pStyle w:val="Compact"/>
              <w:jc w:val="left"/>
            </w:pPr>
            <w:r>
              <w:t xml:space="preserve">0.992 (0.987–0.995)</w:t>
            </w:r>
          </w:p>
        </w:tc>
        <w:tc>
          <w:tcPr/>
          <w:p>
            <w:pPr>
              <w:pStyle w:val="Compact"/>
              <w:jc w:val="left"/>
            </w:pPr>
            <w:r>
              <w:t xml:space="preserve">0.210 (0.085–0.433)</w:t>
            </w:r>
          </w:p>
        </w:tc>
        <w:tc>
          <w:tcPr/>
          <w:p>
            <w:pPr>
              <w:pStyle w:val="Compact"/>
              <w:jc w:val="left"/>
            </w:pPr>
            <w:r>
              <w:t xml:space="preserve">0.043 (0.011–0.084)</w:t>
            </w:r>
          </w:p>
        </w:tc>
        <w:tc>
          <w:tcPr/>
          <w:p>
            <w:pPr>
              <w:pStyle w:val="Compact"/>
              <w:jc w:val="left"/>
            </w:pPr>
            <w:r>
              <w:t xml:space="preserve">0.046 (-0.017–0.106)</w:t>
            </w:r>
          </w:p>
        </w:tc>
      </w:tr>
      <w:tr>
        <w:tc>
          <w:tcPr/>
          <w:p>
            <w:pPr>
              <w:pStyle w:val="Compact"/>
              <w:jc w:val="left"/>
            </w:pPr>
            <w:r>
              <w:t xml:space="preserve">Claude 4.7 + RAG × Constellation</w:t>
            </w:r>
          </w:p>
        </w:tc>
        <w:tc>
          <w:tcPr/>
          <w:p>
            <w:pPr>
              <w:pStyle w:val="Compact"/>
              <w:jc w:val="left"/>
            </w:pPr>
            <w:r>
              <w:t xml:space="preserve">0.024 (0.009–0.061)</w:t>
            </w:r>
          </w:p>
        </w:tc>
        <w:tc>
          <w:tcPr/>
          <w:p>
            <w:pPr>
              <w:pStyle w:val="Compact"/>
              <w:jc w:val="left"/>
            </w:pPr>
            <w:r>
              <w:t xml:space="preserve">0.989 (0.983–0.993)</w:t>
            </w:r>
          </w:p>
        </w:tc>
        <w:tc>
          <w:tcPr/>
          <w:p>
            <w:pPr>
              <w:pStyle w:val="Compact"/>
              <w:jc w:val="left"/>
            </w:pPr>
            <w:r>
              <w:t xml:space="preserve">0.167 (0.067–0.359)</w:t>
            </w:r>
          </w:p>
        </w:tc>
        <w:tc>
          <w:tcPr/>
          <w:p>
            <w:pPr>
              <w:pStyle w:val="Compact"/>
              <w:jc w:val="left"/>
            </w:pPr>
            <w:r>
              <w:t xml:space="preserve">0.042 (0.010–0.082)</w:t>
            </w:r>
          </w:p>
        </w:tc>
        <w:tc>
          <w:tcPr/>
          <w:p>
            <w:pPr>
              <w:pStyle w:val="Compact"/>
              <w:jc w:val="left"/>
            </w:pPr>
            <w:r>
              <w:t xml:space="preserve">0.034 (-0.023–0.090)</w:t>
            </w:r>
          </w:p>
        </w:tc>
      </w:tr>
      <w:tr>
        <w:tc>
          <w:tcPr/>
          <w:p>
            <w:pPr>
              <w:pStyle w:val="Compact"/>
              <w:jc w:val="left"/>
            </w:pPr>
            <w:r>
              <w:t xml:space="preserve">Claude 4.7 + RAG × Gemini 3.1 + RAG</w:t>
            </w:r>
          </w:p>
        </w:tc>
        <w:tc>
          <w:tcPr/>
          <w:p>
            <w:pPr>
              <w:pStyle w:val="Compact"/>
              <w:jc w:val="left"/>
            </w:pPr>
            <w:r>
              <w:t xml:space="preserve">0.024 (0.009–0.061)</w:t>
            </w:r>
          </w:p>
        </w:tc>
        <w:tc>
          <w:tcPr/>
          <w:p>
            <w:pPr>
              <w:pStyle w:val="Compact"/>
              <w:jc w:val="left"/>
            </w:pPr>
            <w:r>
              <w:t xml:space="preserve">0.984 (0.977–0.989)</w:t>
            </w:r>
          </w:p>
        </w:tc>
        <w:tc>
          <w:tcPr/>
          <w:p>
            <w:pPr>
              <w:pStyle w:val="Compact"/>
              <w:jc w:val="left"/>
            </w:pPr>
            <w:r>
              <w:t xml:space="preserve">0.121 (0.048–0.273)</w:t>
            </w:r>
          </w:p>
        </w:tc>
        <w:tc>
          <w:tcPr/>
          <w:p>
            <w:pPr>
              <w:pStyle w:val="Compact"/>
              <w:jc w:val="left"/>
            </w:pPr>
            <w:r>
              <w:t xml:space="preserve">0.040 (0.010–0.078)</w:t>
            </w:r>
          </w:p>
        </w:tc>
        <w:tc>
          <w:tcPr/>
          <w:p>
            <w:pPr>
              <w:pStyle w:val="Compact"/>
              <w:jc w:val="left"/>
            </w:pPr>
            <w:r>
              <w:t xml:space="preserve">0.018 (-0.031–0.068)</w:t>
            </w:r>
          </w:p>
        </w:tc>
      </w:tr>
      <w:tr>
        <w:tc>
          <w:tcPr/>
          <w:p>
            <w:pPr>
              <w:pStyle w:val="Compact"/>
              <w:jc w:val="left"/>
            </w:pPr>
            <w:r>
              <w:t xml:space="preserve">Gemini 3.1 + RAG × GPT-5.5</w:t>
            </w:r>
          </w:p>
        </w:tc>
        <w:tc>
          <w:tcPr/>
          <w:p>
            <w:pPr>
              <w:pStyle w:val="Compact"/>
              <w:jc w:val="left"/>
            </w:pPr>
            <w:r>
              <w:t xml:space="preserve">0.024 (0.009–0.061)</w:t>
            </w:r>
          </w:p>
        </w:tc>
        <w:tc>
          <w:tcPr/>
          <w:p>
            <w:pPr>
              <w:pStyle w:val="Compact"/>
              <w:jc w:val="left"/>
            </w:pPr>
            <w:r>
              <w:t xml:space="preserve">0.983 (0.975–0.988)</w:t>
            </w:r>
          </w:p>
        </w:tc>
        <w:tc>
          <w:tcPr/>
          <w:p>
            <w:pPr>
              <w:pStyle w:val="Compact"/>
              <w:jc w:val="left"/>
            </w:pPr>
            <w:r>
              <w:t xml:space="preserve">0.111 (0.044–0.253)</w:t>
            </w:r>
          </w:p>
        </w:tc>
        <w:tc>
          <w:tcPr/>
          <w:p>
            <w:pPr>
              <w:pStyle w:val="Compact"/>
              <w:jc w:val="left"/>
            </w:pPr>
            <w:r>
              <w:t xml:space="preserve">0.040 (0.010–0.079)</w:t>
            </w:r>
          </w:p>
        </w:tc>
        <w:tc>
          <w:tcPr/>
          <w:p>
            <w:pPr>
              <w:pStyle w:val="Compact"/>
              <w:jc w:val="left"/>
            </w:pPr>
            <w:r>
              <w:t xml:space="preserve">0.014 (-0.032–0.068)</w:t>
            </w:r>
          </w:p>
        </w:tc>
      </w:tr>
      <w:tr>
        <w:tc>
          <w:tcPr/>
          <w:p>
            <w:pPr>
              <w:pStyle w:val="Compact"/>
              <w:jc w:val="left"/>
            </w:pPr>
            <w:r>
              <w:t xml:space="preserve">CQL reward-opt × Gemini 3.1 + RAG</w:t>
            </w:r>
          </w:p>
        </w:tc>
        <w:tc>
          <w:tcPr/>
          <w:p>
            <w:pPr>
              <w:pStyle w:val="Compact"/>
              <w:jc w:val="left"/>
            </w:pPr>
            <w:r>
              <w:t xml:space="preserve">0.024 (0.009–0.061)</w:t>
            </w:r>
          </w:p>
        </w:tc>
        <w:tc>
          <w:tcPr/>
          <w:p>
            <w:pPr>
              <w:pStyle w:val="Compact"/>
              <w:jc w:val="left"/>
            </w:pPr>
            <w:r>
              <w:t xml:space="preserve">0.980 (0.973–0.986)</w:t>
            </w:r>
          </w:p>
        </w:tc>
        <w:tc>
          <w:tcPr/>
          <w:p>
            <w:pPr>
              <w:pStyle w:val="Compact"/>
              <w:jc w:val="left"/>
            </w:pPr>
            <w:r>
              <w:t xml:space="preserve">0.100 (0.040–0.231)</w:t>
            </w:r>
          </w:p>
        </w:tc>
        <w:tc>
          <w:tcPr/>
          <w:p>
            <w:pPr>
              <w:pStyle w:val="Compact"/>
              <w:jc w:val="left"/>
            </w:pPr>
            <w:r>
              <w:t xml:space="preserve">0.039 (0.009–0.082)</w:t>
            </w:r>
          </w:p>
        </w:tc>
        <w:tc>
          <w:tcPr/>
          <w:p>
            <w:pPr>
              <w:pStyle w:val="Compact"/>
              <w:jc w:val="left"/>
            </w:pPr>
            <w:r>
              <w:t xml:space="preserve">0.009 (-0.034–0.067)</w:t>
            </w:r>
          </w:p>
        </w:tc>
      </w:tr>
      <w:tr>
        <w:tc>
          <w:tcPr/>
          <w:p>
            <w:pPr>
              <w:pStyle w:val="Compact"/>
              <w:jc w:val="left"/>
            </w:pPr>
            <w:r>
              <w:t xml:space="preserve">Gemini 3.1 + RAG × GPT-5.5 + RAG</w:t>
            </w:r>
          </w:p>
        </w:tc>
        <w:tc>
          <w:tcPr/>
          <w:p>
            <w:pPr>
              <w:pStyle w:val="Compact"/>
              <w:jc w:val="left"/>
            </w:pPr>
            <w:r>
              <w:t xml:space="preserve">0.024 (0.009–0.061)</w:t>
            </w:r>
          </w:p>
        </w:tc>
        <w:tc>
          <w:tcPr/>
          <w:p>
            <w:pPr>
              <w:pStyle w:val="Compact"/>
              <w:jc w:val="left"/>
            </w:pPr>
            <w:r>
              <w:t xml:space="preserve">0.980 (0.973–0.986)</w:t>
            </w:r>
          </w:p>
        </w:tc>
        <w:tc>
          <w:tcPr/>
          <w:p>
            <w:pPr>
              <w:pStyle w:val="Compact"/>
              <w:jc w:val="left"/>
            </w:pPr>
            <w:r>
              <w:t xml:space="preserve">0.100 (0.040–0.231)</w:t>
            </w:r>
          </w:p>
        </w:tc>
        <w:tc>
          <w:tcPr/>
          <w:p>
            <w:pPr>
              <w:pStyle w:val="Compact"/>
              <w:jc w:val="left"/>
            </w:pPr>
            <w:r>
              <w:t xml:space="preserve">0.039 (0.009–0.082)</w:t>
            </w:r>
          </w:p>
        </w:tc>
        <w:tc>
          <w:tcPr/>
          <w:p>
            <w:pPr>
              <w:pStyle w:val="Compact"/>
              <w:jc w:val="left"/>
            </w:pPr>
            <w:r>
              <w:t xml:space="preserve">0.009 (-0.034–0.067)</w:t>
            </w:r>
          </w:p>
        </w:tc>
      </w:tr>
      <w:tr>
        <w:tc>
          <w:tcPr/>
          <w:p>
            <w:pPr>
              <w:pStyle w:val="Compact"/>
              <w:jc w:val="left"/>
            </w:pPr>
            <w:r>
              <w:t xml:space="preserve">Gemini 3.1 + RAG × LogReg+TF-IDF</w:t>
            </w:r>
          </w:p>
        </w:tc>
        <w:tc>
          <w:tcPr/>
          <w:p>
            <w:pPr>
              <w:pStyle w:val="Compact"/>
              <w:jc w:val="left"/>
            </w:pPr>
            <w:r>
              <w:t xml:space="preserve">0.024 (0.009–0.061)</w:t>
            </w:r>
          </w:p>
        </w:tc>
        <w:tc>
          <w:tcPr/>
          <w:p>
            <w:pPr>
              <w:pStyle w:val="Compact"/>
              <w:jc w:val="left"/>
            </w:pPr>
            <w:r>
              <w:t xml:space="preserve">0.980 (0.972–0.985)</w:t>
            </w:r>
          </w:p>
        </w:tc>
        <w:tc>
          <w:tcPr/>
          <w:p>
            <w:pPr>
              <w:pStyle w:val="Compact"/>
              <w:jc w:val="left"/>
            </w:pPr>
            <w:r>
              <w:t xml:space="preserve">0.098 (0.039–0.225)</w:t>
            </w:r>
          </w:p>
        </w:tc>
        <w:tc>
          <w:tcPr/>
          <w:p>
            <w:pPr>
              <w:pStyle w:val="Compact"/>
              <w:jc w:val="left"/>
            </w:pPr>
            <w:r>
              <w:t xml:space="preserve">0.039 (0.009–0.080)</w:t>
            </w:r>
          </w:p>
        </w:tc>
        <w:tc>
          <w:tcPr/>
          <w:p>
            <w:pPr>
              <w:pStyle w:val="Compact"/>
              <w:jc w:val="left"/>
            </w:pPr>
            <w:r>
              <w:t xml:space="preserve">0.008 (-0.035–0.064)</w:t>
            </w:r>
          </w:p>
        </w:tc>
      </w:tr>
      <w:tr>
        <w:tc>
          <w:tcPr/>
          <w:p>
            <w:pPr>
              <w:pStyle w:val="Compact"/>
              <w:jc w:val="left"/>
            </w:pPr>
            <w:r>
              <w:t xml:space="preserve">Gemini 3.1 Pro × XGBoost+SBERT</w:t>
            </w:r>
          </w:p>
        </w:tc>
        <w:tc>
          <w:tcPr/>
          <w:p>
            <w:pPr>
              <w:pStyle w:val="Compact"/>
              <w:jc w:val="left"/>
            </w:pPr>
            <w:r>
              <w:t xml:space="preserve">0.018 (0.006–0.052)</w:t>
            </w:r>
          </w:p>
        </w:tc>
        <w:tc>
          <w:tcPr/>
          <w:p>
            <w:pPr>
              <w:pStyle w:val="Compact"/>
              <w:jc w:val="left"/>
            </w:pPr>
            <w:r>
              <w:t xml:space="preserve">0.999 (0.996–1.000)</w:t>
            </w:r>
          </w:p>
        </w:tc>
        <w:tc>
          <w:tcPr/>
          <w:p>
            <w:pPr>
              <w:pStyle w:val="Compact"/>
              <w:jc w:val="left"/>
            </w:pPr>
            <w:r>
              <w:t xml:space="preserve">0.600 (0.231–0.882)</w:t>
            </w:r>
          </w:p>
        </w:tc>
        <w:tc>
          <w:tcPr/>
          <w:p>
            <w:pPr>
              <w:pStyle w:val="Compact"/>
              <w:jc w:val="left"/>
            </w:pPr>
            <w:r>
              <w:t xml:space="preserve">0.035 (0.000–0.074)</w:t>
            </w:r>
          </w:p>
        </w:tc>
        <w:tc>
          <w:tcPr/>
          <w:p>
            <w:pPr>
              <w:pStyle w:val="Compact"/>
              <w:jc w:val="left"/>
            </w:pPr>
            <w:r>
              <w:t xml:space="preserve">0.094 (-0.009–0.167)</w:t>
            </w:r>
          </w:p>
        </w:tc>
      </w:tr>
      <w:tr>
        <w:tc>
          <w:tcPr/>
          <w:p>
            <w:pPr>
              <w:pStyle w:val="Compact"/>
              <w:jc w:val="left"/>
            </w:pPr>
            <w:r>
              <w:t xml:space="preserve">Claude Opus 4.7 × CQL sens-opt</w:t>
            </w:r>
          </w:p>
        </w:tc>
        <w:tc>
          <w:tcPr/>
          <w:p>
            <w:pPr>
              <w:pStyle w:val="Compact"/>
              <w:jc w:val="left"/>
            </w:pPr>
            <w:r>
              <w:t xml:space="preserve">0.018 (0.006–0.052)</w:t>
            </w:r>
          </w:p>
        </w:tc>
        <w:tc>
          <w:tcPr/>
          <w:p>
            <w:pPr>
              <w:pStyle w:val="Compact"/>
              <w:jc w:val="left"/>
            </w:pPr>
            <w:r>
              <w:t xml:space="preserve">0.998 (0.995–0.999)</w:t>
            </w:r>
          </w:p>
        </w:tc>
        <w:tc>
          <w:tcPr/>
          <w:p>
            <w:pPr>
              <w:pStyle w:val="Compact"/>
              <w:jc w:val="left"/>
            </w:pPr>
            <w:r>
              <w:t xml:space="preserve">0.500 (0.188–0.812)</w:t>
            </w:r>
          </w:p>
        </w:tc>
        <w:tc>
          <w:tcPr/>
          <w:p>
            <w:pPr>
              <w:pStyle w:val="Compact"/>
              <w:jc w:val="left"/>
            </w:pPr>
            <w:r>
              <w:t xml:space="preserve">0.035 (0.000–0.074)</w:t>
            </w:r>
          </w:p>
        </w:tc>
        <w:tc>
          <w:tcPr/>
          <w:p>
            <w:pPr>
              <w:pStyle w:val="Compact"/>
              <w:jc w:val="left"/>
            </w:pPr>
            <w:r>
              <w:t xml:space="preserve">0.083 (-0.012–0.154)</w:t>
            </w:r>
          </w:p>
        </w:tc>
      </w:tr>
      <w:tr>
        <w:tc>
          <w:tcPr/>
          <w:p>
            <w:pPr>
              <w:pStyle w:val="Compact"/>
              <w:jc w:val="left"/>
            </w:pPr>
            <w:r>
              <w:t xml:space="preserve">CQL sens-opt × GPT-5.5</w:t>
            </w:r>
          </w:p>
        </w:tc>
        <w:tc>
          <w:tcPr/>
          <w:p>
            <w:pPr>
              <w:pStyle w:val="Compact"/>
              <w:jc w:val="left"/>
            </w:pPr>
            <w:r>
              <w:t xml:space="preserve">0.018 (0.006–0.052)</w:t>
            </w:r>
          </w:p>
        </w:tc>
        <w:tc>
          <w:tcPr/>
          <w:p>
            <w:pPr>
              <w:pStyle w:val="Compact"/>
              <w:jc w:val="left"/>
            </w:pPr>
            <w:r>
              <w:t xml:space="preserve">0.998 (0.995–0.999)</w:t>
            </w:r>
          </w:p>
        </w:tc>
        <w:tc>
          <w:tcPr/>
          <w:p>
            <w:pPr>
              <w:pStyle w:val="Compact"/>
              <w:jc w:val="left"/>
            </w:pPr>
            <w:r>
              <w:t xml:space="preserve">0.500 (0.188–0.812)</w:t>
            </w:r>
          </w:p>
        </w:tc>
        <w:tc>
          <w:tcPr/>
          <w:p>
            <w:pPr>
              <w:pStyle w:val="Compact"/>
              <w:jc w:val="left"/>
            </w:pPr>
            <w:r>
              <w:t xml:space="preserve">0.035 (0.000–0.074)</w:t>
            </w:r>
          </w:p>
        </w:tc>
        <w:tc>
          <w:tcPr/>
          <w:p>
            <w:pPr>
              <w:pStyle w:val="Compact"/>
              <w:jc w:val="left"/>
            </w:pPr>
            <w:r>
              <w:t xml:space="preserve">0.083 (-0.012–0.154)</w:t>
            </w:r>
          </w:p>
        </w:tc>
      </w:tr>
      <w:tr>
        <w:tc>
          <w:tcPr/>
          <w:p>
            <w:pPr>
              <w:pStyle w:val="Compact"/>
              <w:jc w:val="left"/>
            </w:pPr>
            <w:r>
              <w:t xml:space="preserve">Claude 4.7 + RAG × Gemini 3.1 Pro</w:t>
            </w:r>
          </w:p>
        </w:tc>
        <w:tc>
          <w:tcPr/>
          <w:p>
            <w:pPr>
              <w:pStyle w:val="Compact"/>
              <w:jc w:val="left"/>
            </w:pPr>
            <w:r>
              <w:t xml:space="preserve">0.018 (0.006–0.052)</w:t>
            </w:r>
          </w:p>
        </w:tc>
        <w:tc>
          <w:tcPr/>
          <w:p>
            <w:pPr>
              <w:pStyle w:val="Compact"/>
              <w:jc w:val="left"/>
            </w:pPr>
            <w:r>
              <w:t xml:space="preserve">0.997 (0.993–0.999)</w:t>
            </w:r>
          </w:p>
        </w:tc>
        <w:tc>
          <w:tcPr/>
          <w:p>
            <w:pPr>
              <w:pStyle w:val="Compact"/>
              <w:jc w:val="left"/>
            </w:pPr>
            <w:r>
              <w:t xml:space="preserve">0.333 (0.121–0.646)</w:t>
            </w:r>
          </w:p>
        </w:tc>
        <w:tc>
          <w:tcPr/>
          <w:p>
            <w:pPr>
              <w:pStyle w:val="Compact"/>
              <w:jc w:val="left"/>
            </w:pPr>
            <w:r>
              <w:t xml:space="preserve">0.035 (0.000–0.073)</w:t>
            </w:r>
          </w:p>
        </w:tc>
        <w:tc>
          <w:tcPr/>
          <w:p>
            <w:pPr>
              <w:pStyle w:val="Compact"/>
              <w:jc w:val="left"/>
            </w:pPr>
            <w:r>
              <w:t xml:space="preserve">0.061 (-0.016–0.128)</w:t>
            </w:r>
          </w:p>
        </w:tc>
      </w:tr>
      <w:tr>
        <w:tc>
          <w:tcPr/>
          <w:p>
            <w:pPr>
              <w:pStyle w:val="Compact"/>
              <w:jc w:val="left"/>
            </w:pPr>
            <w:r>
              <w:t xml:space="preserve">Claude Opus 4.7 × Gemini 3.1 Pro</w:t>
            </w:r>
          </w:p>
        </w:tc>
        <w:tc>
          <w:tcPr/>
          <w:p>
            <w:pPr>
              <w:pStyle w:val="Compact"/>
              <w:jc w:val="left"/>
            </w:pPr>
            <w:r>
              <w:t xml:space="preserve">0.018 (0.006–0.052)</w:t>
            </w:r>
          </w:p>
        </w:tc>
        <w:tc>
          <w:tcPr/>
          <w:p>
            <w:pPr>
              <w:pStyle w:val="Compact"/>
              <w:jc w:val="left"/>
            </w:pPr>
            <w:r>
              <w:t xml:space="preserve">0.996 (0.992–0.998)</w:t>
            </w:r>
          </w:p>
        </w:tc>
        <w:tc>
          <w:tcPr/>
          <w:p>
            <w:pPr>
              <w:pStyle w:val="Compact"/>
              <w:jc w:val="left"/>
            </w:pPr>
            <w:r>
              <w:t xml:space="preserve">0.300 (0.108–0.603)</w:t>
            </w:r>
          </w:p>
        </w:tc>
        <w:tc>
          <w:tcPr/>
          <w:p>
            <w:pPr>
              <w:pStyle w:val="Compact"/>
              <w:jc w:val="left"/>
            </w:pPr>
            <w:r>
              <w:t xml:space="preserve">0.034 (0.000–0.072)</w:t>
            </w:r>
          </w:p>
        </w:tc>
        <w:tc>
          <w:tcPr/>
          <w:p>
            <w:pPr>
              <w:pStyle w:val="Compact"/>
              <w:jc w:val="left"/>
            </w:pPr>
            <w:r>
              <w:t xml:space="preserve">0.056 (-0.018–0.118)</w:t>
            </w:r>
          </w:p>
        </w:tc>
      </w:tr>
      <w:tr>
        <w:tc>
          <w:tcPr/>
          <w:p>
            <w:pPr>
              <w:pStyle w:val="Compact"/>
              <w:jc w:val="left"/>
            </w:pPr>
            <w:r>
              <w:t xml:space="preserve">Gemini 3.1 Pro × GPT-5.5 + RAG</w:t>
            </w:r>
          </w:p>
        </w:tc>
        <w:tc>
          <w:tcPr/>
          <w:p>
            <w:pPr>
              <w:pStyle w:val="Compact"/>
              <w:jc w:val="left"/>
            </w:pPr>
            <w:r>
              <w:t xml:space="preserve">0.018 (0.006–0.052)</w:t>
            </w:r>
          </w:p>
        </w:tc>
        <w:tc>
          <w:tcPr/>
          <w:p>
            <w:pPr>
              <w:pStyle w:val="Compact"/>
              <w:jc w:val="left"/>
            </w:pPr>
            <w:r>
              <w:t xml:space="preserve">0.996 (0.991–0.998)</w:t>
            </w:r>
          </w:p>
        </w:tc>
        <w:tc>
          <w:tcPr/>
          <w:p>
            <w:pPr>
              <w:pStyle w:val="Compact"/>
              <w:jc w:val="left"/>
            </w:pPr>
            <w:r>
              <w:t xml:space="preserve">0.273 (0.097–0.566)</w:t>
            </w:r>
          </w:p>
        </w:tc>
        <w:tc>
          <w:tcPr/>
          <w:p>
            <w:pPr>
              <w:pStyle w:val="Compact"/>
              <w:jc w:val="left"/>
            </w:pPr>
            <w:r>
              <w:t xml:space="preserve">0.034 (0.000–0.072)</w:t>
            </w:r>
          </w:p>
        </w:tc>
        <w:tc>
          <w:tcPr/>
          <w:p>
            <w:pPr>
              <w:pStyle w:val="Compact"/>
              <w:jc w:val="left"/>
            </w:pPr>
            <w:r>
              <w:t xml:space="preserve">0.051 (-0.019–0.114)</w:t>
            </w:r>
          </w:p>
        </w:tc>
      </w:tr>
      <w:tr>
        <w:tc>
          <w:tcPr/>
          <w:p>
            <w:pPr>
              <w:pStyle w:val="Compact"/>
              <w:jc w:val="left"/>
            </w:pPr>
            <w:r>
              <w:t xml:space="preserve">Gemini 3.1 Pro × GPT-5.5</w:t>
            </w:r>
          </w:p>
        </w:tc>
        <w:tc>
          <w:tcPr/>
          <w:p>
            <w:pPr>
              <w:pStyle w:val="Compact"/>
              <w:jc w:val="left"/>
            </w:pPr>
            <w:r>
              <w:t xml:space="preserve">0.018 (0.006–0.052)</w:t>
            </w:r>
          </w:p>
        </w:tc>
        <w:tc>
          <w:tcPr/>
          <w:p>
            <w:pPr>
              <w:pStyle w:val="Compact"/>
              <w:jc w:val="left"/>
            </w:pPr>
            <w:r>
              <w:t xml:space="preserve">0.995 (0.991–0.997)</w:t>
            </w:r>
          </w:p>
        </w:tc>
        <w:tc>
          <w:tcPr/>
          <w:p>
            <w:pPr>
              <w:pStyle w:val="Compact"/>
              <w:jc w:val="left"/>
            </w:pPr>
            <w:r>
              <w:t xml:space="preserve">0.250 (0.089–0.532)</w:t>
            </w:r>
          </w:p>
        </w:tc>
        <w:tc>
          <w:tcPr/>
          <w:p>
            <w:pPr>
              <w:pStyle w:val="Compact"/>
              <w:jc w:val="left"/>
            </w:pPr>
            <w:r>
              <w:t xml:space="preserve">0.034 (0.000–0.071)</w:t>
            </w:r>
          </w:p>
        </w:tc>
        <w:tc>
          <w:tcPr/>
          <w:p>
            <w:pPr>
              <w:pStyle w:val="Compact"/>
              <w:jc w:val="left"/>
            </w:pPr>
            <w:r>
              <w:t xml:space="preserve">0.047 (-0.021–0.110)</w:t>
            </w:r>
          </w:p>
        </w:tc>
      </w:tr>
      <w:tr>
        <w:tc>
          <w:tcPr/>
          <w:p>
            <w:pPr>
              <w:pStyle w:val="Compact"/>
              <w:jc w:val="left"/>
            </w:pPr>
            <w:r>
              <w:t xml:space="preserve">CQL reward-opt × Gemini 3.1 Pro</w:t>
            </w:r>
          </w:p>
        </w:tc>
        <w:tc>
          <w:tcPr/>
          <w:p>
            <w:pPr>
              <w:pStyle w:val="Compact"/>
              <w:jc w:val="left"/>
            </w:pPr>
            <w:r>
              <w:t xml:space="preserve">0.018 (0.006–0.052)</w:t>
            </w:r>
          </w:p>
        </w:tc>
        <w:tc>
          <w:tcPr/>
          <w:p>
            <w:pPr>
              <w:pStyle w:val="Compact"/>
              <w:jc w:val="left"/>
            </w:pPr>
            <w:r>
              <w:t xml:space="preserve">0.995 (0.990–0.997)</w:t>
            </w:r>
          </w:p>
        </w:tc>
        <w:tc>
          <w:tcPr/>
          <w:p>
            <w:pPr>
              <w:pStyle w:val="Compact"/>
              <w:jc w:val="left"/>
            </w:pPr>
            <w:r>
              <w:t xml:space="preserve">0.231 (0.082–0.503)</w:t>
            </w:r>
          </w:p>
        </w:tc>
        <w:tc>
          <w:tcPr/>
          <w:p>
            <w:pPr>
              <w:pStyle w:val="Compact"/>
              <w:jc w:val="left"/>
            </w:pPr>
            <w:r>
              <w:t xml:space="preserve">0.034 (0.000–0.071)</w:t>
            </w:r>
          </w:p>
        </w:tc>
        <w:tc>
          <w:tcPr/>
          <w:p>
            <w:pPr>
              <w:pStyle w:val="Compact"/>
              <w:jc w:val="left"/>
            </w:pPr>
            <w:r>
              <w:t xml:space="preserve">0.044 (-0.022–0.104)</w:t>
            </w:r>
          </w:p>
        </w:tc>
      </w:tr>
      <w:tr>
        <w:tc>
          <w:tcPr/>
          <w:p>
            <w:pPr>
              <w:pStyle w:val="Compact"/>
              <w:jc w:val="left"/>
            </w:pPr>
            <w:r>
              <w:t xml:space="preserve">Gemini 3.1 Pro × LogReg+TF-IDF</w:t>
            </w:r>
          </w:p>
        </w:tc>
        <w:tc>
          <w:tcPr/>
          <w:p>
            <w:pPr>
              <w:pStyle w:val="Compact"/>
              <w:jc w:val="left"/>
            </w:pPr>
            <w:r>
              <w:t xml:space="preserve">0.018 (0.006–0.052)</w:t>
            </w:r>
          </w:p>
        </w:tc>
        <w:tc>
          <w:tcPr/>
          <w:p>
            <w:pPr>
              <w:pStyle w:val="Compact"/>
              <w:jc w:val="left"/>
            </w:pPr>
            <w:r>
              <w:t xml:space="preserve">0.995 (0.990–0.997)</w:t>
            </w:r>
          </w:p>
        </w:tc>
        <w:tc>
          <w:tcPr/>
          <w:p>
            <w:pPr>
              <w:pStyle w:val="Compact"/>
              <w:jc w:val="left"/>
            </w:pPr>
            <w:r>
              <w:t xml:space="preserve">0.231 (0.082–0.503)</w:t>
            </w:r>
          </w:p>
        </w:tc>
        <w:tc>
          <w:tcPr/>
          <w:p>
            <w:pPr>
              <w:pStyle w:val="Compact"/>
              <w:jc w:val="left"/>
            </w:pPr>
            <w:r>
              <w:t xml:space="preserve">0.034 (0.000–0.071)</w:t>
            </w:r>
          </w:p>
        </w:tc>
        <w:tc>
          <w:tcPr/>
          <w:p>
            <w:pPr>
              <w:pStyle w:val="Compact"/>
              <w:jc w:val="left"/>
            </w:pPr>
            <w:r>
              <w:t xml:space="preserve">0.044 (-0.022–0.104)</w:t>
            </w:r>
          </w:p>
        </w:tc>
      </w:tr>
      <w:tr>
        <w:tc>
          <w:tcPr/>
          <w:p>
            <w:pPr>
              <w:pStyle w:val="Compact"/>
              <w:jc w:val="left"/>
            </w:pPr>
            <w:r>
              <w:t xml:space="preserve">Claude Opus 4.7 × Gemini 3.1 + RAG</w:t>
            </w:r>
          </w:p>
        </w:tc>
        <w:tc>
          <w:tcPr/>
          <w:p>
            <w:pPr>
              <w:pStyle w:val="Compact"/>
              <w:jc w:val="left"/>
            </w:pPr>
            <w:r>
              <w:t xml:space="preserve">0.018 (0.006–0.052)</w:t>
            </w:r>
          </w:p>
        </w:tc>
        <w:tc>
          <w:tcPr/>
          <w:p>
            <w:pPr>
              <w:pStyle w:val="Compact"/>
              <w:jc w:val="left"/>
            </w:pPr>
            <w:r>
              <w:t xml:space="preserve">0.985 (0.979–0.990)</w:t>
            </w:r>
          </w:p>
        </w:tc>
        <w:tc>
          <w:tcPr/>
          <w:p>
            <w:pPr>
              <w:pStyle w:val="Compact"/>
              <w:jc w:val="left"/>
            </w:pPr>
            <w:r>
              <w:t xml:space="preserve">0.100 (0.035–0.256)</w:t>
            </w:r>
          </w:p>
        </w:tc>
        <w:tc>
          <w:tcPr/>
          <w:p>
            <w:pPr>
              <w:pStyle w:val="Compact"/>
              <w:jc w:val="left"/>
            </w:pPr>
            <w:r>
              <w:t xml:space="preserve">0.031 (0.000–0.065)</w:t>
            </w:r>
          </w:p>
        </w:tc>
        <w:tc>
          <w:tcPr/>
          <w:p>
            <w:pPr>
              <w:pStyle w:val="Compact"/>
              <w:jc w:val="left"/>
            </w:pPr>
            <w:r>
              <w:t xml:space="preserve">0.008 (-0.036–0.051)</w:t>
            </w:r>
          </w:p>
        </w:tc>
      </w:tr>
      <w:tr>
        <w:tc>
          <w:tcPr/>
          <w:p>
            <w:pPr>
              <w:pStyle w:val="Compact"/>
              <w:jc w:val="left"/>
            </w:pPr>
            <w:r>
              <w:t xml:space="preserve">Constellation × Gemini 3.1 Pro</w:t>
            </w:r>
          </w:p>
        </w:tc>
        <w:tc>
          <w:tcPr/>
          <w:p>
            <w:pPr>
              <w:pStyle w:val="Compact"/>
              <w:jc w:val="left"/>
            </w:pPr>
            <w:r>
              <w:t xml:space="preserve">0.012 (0.003–0.043)</w:t>
            </w:r>
          </w:p>
        </w:tc>
        <w:tc>
          <w:tcPr/>
          <w:p>
            <w:pPr>
              <w:pStyle w:val="Compact"/>
              <w:jc w:val="left"/>
            </w:pPr>
            <w:r>
              <w:t xml:space="preserve">1.000 (0.997–1.000)</w:t>
            </w:r>
          </w:p>
        </w:tc>
        <w:tc>
          <w:tcPr/>
          <w:p>
            <w:pPr>
              <w:pStyle w:val="Compact"/>
              <w:jc w:val="left"/>
            </w:pPr>
            <w:r>
              <w:t xml:space="preserve">0.667 (0.208–0.939)</w:t>
            </w:r>
          </w:p>
        </w:tc>
        <w:tc>
          <w:tcPr/>
          <w:p>
            <w:pPr>
              <w:pStyle w:val="Compact"/>
              <w:jc w:val="left"/>
            </w:pPr>
            <w:r>
              <w:t xml:space="preserve">0.024 (0.000–0.058)</w:t>
            </w:r>
          </w:p>
        </w:tc>
        <w:tc>
          <w:tcPr/>
          <w:p>
            <w:pPr>
              <w:pStyle w:val="Compact"/>
              <w:jc w:val="left"/>
            </w:pPr>
            <w:r>
              <w:t xml:space="preserve">0.082 (-0.009–0.150)</w:t>
            </w:r>
          </w:p>
        </w:tc>
      </w:tr>
      <w:tr>
        <w:tc>
          <w:tcPr/>
          <w:p>
            <w:pPr>
              <w:pStyle w:val="Compact"/>
              <w:jc w:val="left"/>
            </w:pPr>
            <w:r>
              <w:t xml:space="preserve">Constellation × Guardrails</w:t>
            </w:r>
          </w:p>
        </w:tc>
        <w:tc>
          <w:tcPr/>
          <w:p>
            <w:pPr>
              <w:pStyle w:val="Compact"/>
              <w:jc w:val="left"/>
            </w:pPr>
            <w:r>
              <w:t xml:space="preserve">0.012 (0.003–0.043)</w:t>
            </w:r>
          </w:p>
        </w:tc>
        <w:tc>
          <w:tcPr/>
          <w:p>
            <w:pPr>
              <w:pStyle w:val="Compact"/>
              <w:jc w:val="left"/>
            </w:pPr>
            <w:r>
              <w:t xml:space="preserve">1.000 (0.997–1.000)</w:t>
            </w:r>
          </w:p>
        </w:tc>
        <w:tc>
          <w:tcPr/>
          <w:p>
            <w:pPr>
              <w:pStyle w:val="Compact"/>
              <w:jc w:val="left"/>
            </w:pPr>
            <w:r>
              <w:t xml:space="preserve">0.667 (0.208–0.939)</w:t>
            </w:r>
          </w:p>
        </w:tc>
        <w:tc>
          <w:tcPr/>
          <w:p>
            <w:pPr>
              <w:pStyle w:val="Compact"/>
              <w:jc w:val="left"/>
            </w:pPr>
            <w:r>
              <w:t xml:space="preserve">0.024 (0.000–0.058)</w:t>
            </w:r>
          </w:p>
        </w:tc>
        <w:tc>
          <w:tcPr/>
          <w:p>
            <w:pPr>
              <w:pStyle w:val="Compact"/>
              <w:jc w:val="left"/>
            </w:pPr>
            <w:r>
              <w:t xml:space="preserve">0.082 (-0.009–0.150)</w:t>
            </w:r>
          </w:p>
        </w:tc>
      </w:tr>
      <w:tr>
        <w:tc>
          <w:tcPr/>
          <w:p>
            <w:pPr>
              <w:pStyle w:val="Compact"/>
              <w:jc w:val="left"/>
            </w:pPr>
            <w:r>
              <w:t xml:space="preserve">CQL sens-opt × GPT-5.5 + RAG</w:t>
            </w:r>
          </w:p>
        </w:tc>
        <w:tc>
          <w:tcPr/>
          <w:p>
            <w:pPr>
              <w:pStyle w:val="Compact"/>
              <w:jc w:val="left"/>
            </w:pPr>
            <w:r>
              <w:t xml:space="preserve">0.012 (0.003–0.043)</w:t>
            </w:r>
          </w:p>
        </w:tc>
        <w:tc>
          <w:tcPr/>
          <w:p>
            <w:pPr>
              <w:pStyle w:val="Compact"/>
              <w:jc w:val="left"/>
            </w:pPr>
            <w:r>
              <w:t xml:space="preserve">1.000 (0.997–1.000)</w:t>
            </w:r>
          </w:p>
        </w:tc>
        <w:tc>
          <w:tcPr/>
          <w:p>
            <w:pPr>
              <w:pStyle w:val="Compact"/>
              <w:jc w:val="left"/>
            </w:pPr>
            <w:r>
              <w:t xml:space="preserve">0.667 (0.208–0.939)</w:t>
            </w:r>
          </w:p>
        </w:tc>
        <w:tc>
          <w:tcPr/>
          <w:p>
            <w:pPr>
              <w:pStyle w:val="Compact"/>
              <w:jc w:val="left"/>
            </w:pPr>
            <w:r>
              <w:t xml:space="preserve">0.024 (0.000–0.058)</w:t>
            </w:r>
          </w:p>
        </w:tc>
        <w:tc>
          <w:tcPr/>
          <w:p>
            <w:pPr>
              <w:pStyle w:val="Compact"/>
              <w:jc w:val="left"/>
            </w:pPr>
            <w:r>
              <w:t xml:space="preserve">0.082 (-0.009–0.150)</w:t>
            </w:r>
          </w:p>
        </w:tc>
      </w:tr>
      <w:tr>
        <w:tc>
          <w:tcPr/>
          <w:p>
            <w:pPr>
              <w:pStyle w:val="Compact"/>
              <w:jc w:val="left"/>
            </w:pPr>
            <w:r>
              <w:t xml:space="preserve">ActionHead × Gemini 3.1 Pro</w:t>
            </w:r>
          </w:p>
        </w:tc>
        <w:tc>
          <w:tcPr/>
          <w:p>
            <w:pPr>
              <w:pStyle w:val="Compact"/>
              <w:jc w:val="left"/>
            </w:pPr>
            <w:r>
              <w:t xml:space="preserve">0.012 (0.003–0.043)</w:t>
            </w:r>
          </w:p>
        </w:tc>
        <w:tc>
          <w:tcPr/>
          <w:p>
            <w:pPr>
              <w:pStyle w:val="Compact"/>
              <w:jc w:val="left"/>
            </w:pPr>
            <w:r>
              <w:t xml:space="preserve">0.998 (0.994–0.999)</w:t>
            </w:r>
          </w:p>
        </w:tc>
        <w:tc>
          <w:tcPr/>
          <w:p>
            <w:pPr>
              <w:pStyle w:val="Compact"/>
              <w:jc w:val="left"/>
            </w:pPr>
            <w:r>
              <w:t xml:space="preserve">0.333 (0.097–0.700)</w:t>
            </w:r>
          </w:p>
        </w:tc>
        <w:tc>
          <w:tcPr/>
          <w:p>
            <w:pPr>
              <w:pStyle w:val="Compact"/>
              <w:jc w:val="left"/>
            </w:pPr>
            <w:r>
              <w:t xml:space="preserve">0.023 (0.000–0.057)</w:t>
            </w:r>
          </w:p>
        </w:tc>
        <w:tc>
          <w:tcPr/>
          <w:p>
            <w:pPr>
              <w:pStyle w:val="Compact"/>
              <w:jc w:val="left"/>
            </w:pPr>
            <w:r>
              <w:t xml:space="preserve">0.050 (-0.018–0.117)</w:t>
            </w:r>
          </w:p>
        </w:tc>
      </w:tr>
      <w:tr>
        <w:tc>
          <w:tcPr/>
          <w:p>
            <w:pPr>
              <w:pStyle w:val="Compact"/>
              <w:jc w:val="left"/>
            </w:pPr>
            <w:r>
              <w:t xml:space="preserve">CQL sens-opt × Gemini 3.1 Pro</w:t>
            </w:r>
          </w:p>
        </w:tc>
        <w:tc>
          <w:tcPr/>
          <w:p>
            <w:pPr>
              <w:pStyle w:val="Compact"/>
              <w:jc w:val="left"/>
            </w:pPr>
            <w:r>
              <w:t xml:space="preserve">0.006 (0.001–0.034)</w:t>
            </w:r>
          </w:p>
        </w:tc>
        <w:tc>
          <w:tcPr/>
          <w:p>
            <w:pPr>
              <w:pStyle w:val="Compact"/>
              <w:jc w:val="left"/>
            </w:pPr>
            <w:r>
              <w:t xml:space="preserve">1.000 (0.998–1.000)</w:t>
            </w:r>
          </w:p>
        </w:tc>
        <w:tc>
          <w:tcPr/>
          <w:p>
            <w:pPr>
              <w:pStyle w:val="Compact"/>
              <w:jc w:val="left"/>
            </w:pPr>
            <w:r>
              <w:t xml:space="preserve">1.000 (0.207–1.000)</w:t>
            </w:r>
          </w:p>
        </w:tc>
        <w:tc>
          <w:tcPr/>
          <w:p>
            <w:pPr>
              <w:pStyle w:val="Compact"/>
              <w:jc w:val="left"/>
            </w:pPr>
            <w:r>
              <w:t xml:space="preserve">0.012 (0.000–0.036)</w:t>
            </w:r>
          </w:p>
        </w:tc>
        <w:tc>
          <w:tcPr/>
          <w:p>
            <w:pPr>
              <w:pStyle w:val="Compact"/>
              <w:jc w:val="left"/>
            </w:pPr>
            <w:r>
              <w:t xml:space="preserve">0.075 (0.075–0.129)</w:t>
            </w:r>
          </w:p>
        </w:tc>
      </w:tr>
      <w:tr>
        <w:tc>
          <w:tcPr/>
          <w:p>
            <w:pPr>
              <w:pStyle w:val="Compact"/>
              <w:jc w:val="left"/>
            </w:pPr>
            <w:r>
              <w:t xml:space="preserve">CQL sens-opt × Guardrails</w:t>
            </w:r>
          </w:p>
        </w:tc>
        <w:tc>
          <w:tcPr/>
          <w:p>
            <w:pPr>
              <w:pStyle w:val="Compact"/>
              <w:jc w:val="left"/>
            </w:pPr>
            <w:r>
              <w:t xml:space="preserve">0.006 (0.001–0.034)</w:t>
            </w:r>
          </w:p>
        </w:tc>
        <w:tc>
          <w:tcPr/>
          <w:p>
            <w:pPr>
              <w:pStyle w:val="Compact"/>
              <w:jc w:val="left"/>
            </w:pPr>
            <w:r>
              <w:t xml:space="preserve">1.000 (0.998–1.000)</w:t>
            </w:r>
          </w:p>
        </w:tc>
        <w:tc>
          <w:tcPr/>
          <w:p>
            <w:pPr>
              <w:pStyle w:val="Compact"/>
              <w:jc w:val="left"/>
            </w:pPr>
            <w:r>
              <w:t xml:space="preserve">1.000 (0.207–1.000)</w:t>
            </w:r>
          </w:p>
        </w:tc>
        <w:tc>
          <w:tcPr/>
          <w:p>
            <w:pPr>
              <w:pStyle w:val="Compact"/>
              <w:jc w:val="left"/>
            </w:pPr>
            <w:r>
              <w:t xml:space="preserve">0.012 (0.000–0.036)</w:t>
            </w:r>
          </w:p>
        </w:tc>
        <w:tc>
          <w:tcPr/>
          <w:p>
            <w:pPr>
              <w:pStyle w:val="Compact"/>
              <w:jc w:val="left"/>
            </w:pPr>
            <w:r>
              <w:t xml:space="preserve">0.075 (0.075–0.129)</w:t>
            </w:r>
          </w:p>
        </w:tc>
      </w:tr>
      <w:tr>
        <w:tc>
          <w:tcPr/>
          <w:p>
            <w:pPr>
              <w:pStyle w:val="Compact"/>
              <w:jc w:val="left"/>
            </w:pPr>
            <w:r>
              <w:t xml:space="preserve">Claude 4.7 + RAG × CQL sens-opt</w:t>
            </w:r>
          </w:p>
        </w:tc>
        <w:tc>
          <w:tcPr/>
          <w:p>
            <w:pPr>
              <w:pStyle w:val="Compact"/>
              <w:jc w:val="left"/>
            </w:pPr>
            <w:r>
              <w:t xml:space="preserve">0.006 (0.001–0.034)</w:t>
            </w:r>
          </w:p>
        </w:tc>
        <w:tc>
          <w:tcPr/>
          <w:p>
            <w:pPr>
              <w:pStyle w:val="Compact"/>
              <w:jc w:val="left"/>
            </w:pPr>
            <w:r>
              <w:t xml:space="preserve">1.000 (0.997–1.000)</w:t>
            </w:r>
          </w:p>
        </w:tc>
        <w:tc>
          <w:tcPr/>
          <w:p>
            <w:pPr>
              <w:pStyle w:val="Compact"/>
              <w:jc w:val="left"/>
            </w:pPr>
            <w:r>
              <w:t xml:space="preserve">0.500 (0.095–0.905)</w:t>
            </w:r>
          </w:p>
        </w:tc>
        <w:tc>
          <w:tcPr/>
          <w:p>
            <w:pPr>
              <w:pStyle w:val="Compact"/>
              <w:jc w:val="left"/>
            </w:pPr>
            <w:r>
              <w:t xml:space="preserve">0.012 (0.000–0.036)</w:t>
            </w:r>
          </w:p>
        </w:tc>
        <w:tc>
          <w:tcPr/>
          <w:p>
            <w:pPr>
              <w:pStyle w:val="Compact"/>
              <w:jc w:val="left"/>
            </w:pPr>
            <w:r>
              <w:t xml:space="preserve">0.048 (-0.012–0.112)</w:t>
            </w:r>
          </w:p>
        </w:tc>
      </w:tr>
      <w:tr>
        <w:tc>
          <w:tcPr/>
          <w:p>
            <w:pPr>
              <w:pStyle w:val="Compact"/>
              <w:jc w:val="left"/>
            </w:pPr>
            <w:r>
              <w:t xml:space="preserve">Gemini 3.1 + RAG × XGBoost+SBERT</w:t>
            </w:r>
          </w:p>
        </w:tc>
        <w:tc>
          <w:tcPr/>
          <w:p>
            <w:pPr>
              <w:pStyle w:val="Compact"/>
              <w:jc w:val="left"/>
            </w:pPr>
            <w:r>
              <w:t xml:space="preserve">0.006 (0.001–0.034)</w:t>
            </w:r>
          </w:p>
        </w:tc>
        <w:tc>
          <w:tcPr/>
          <w:p>
            <w:pPr>
              <w:pStyle w:val="Compact"/>
              <w:jc w:val="left"/>
            </w:pPr>
            <w:r>
              <w:t xml:space="preserve">0.993 (0.988–0.996)</w:t>
            </w:r>
          </w:p>
        </w:tc>
        <w:tc>
          <w:tcPr/>
          <w:p>
            <w:pPr>
              <w:pStyle w:val="Compact"/>
              <w:jc w:val="left"/>
            </w:pPr>
            <w:r>
              <w:t xml:space="preserve">0.071 (0.013–0.315)</w:t>
            </w:r>
          </w:p>
        </w:tc>
        <w:tc>
          <w:tcPr/>
          <w:p>
            <w:pPr>
              <w:pStyle w:val="Compact"/>
              <w:jc w:val="left"/>
            </w:pPr>
            <w:r>
              <w:t xml:space="preserve">0.011 (0.000–0.033)</w:t>
            </w:r>
          </w:p>
        </w:tc>
        <w:tc>
          <w:tcPr/>
          <w:p>
            <w:pPr>
              <w:pStyle w:val="Compact"/>
              <w:jc w:val="left"/>
            </w:pPr>
            <w:r>
              <w:t xml:space="preserve">-0.003 (-0.029–0.038)</w:t>
            </w:r>
          </w:p>
        </w:tc>
      </w:tr>
      <w:tr>
        <w:tc>
          <w:tcPr/>
          <w:p>
            <w:pPr>
              <w:pStyle w:val="Compact"/>
              <w:jc w:val="left"/>
            </w:pPr>
            <w:r>
              <w:t xml:space="preserve">ActionHead × Gemini 3.1 + RAG</w:t>
            </w:r>
          </w:p>
        </w:tc>
        <w:tc>
          <w:tcPr/>
          <w:p>
            <w:pPr>
              <w:pStyle w:val="Compact"/>
              <w:jc w:val="left"/>
            </w:pPr>
            <w:r>
              <w:t xml:space="preserve">0.006 (0.001–0.034)</w:t>
            </w:r>
          </w:p>
        </w:tc>
        <w:tc>
          <w:tcPr/>
          <w:p>
            <w:pPr>
              <w:pStyle w:val="Compact"/>
              <w:jc w:val="left"/>
            </w:pPr>
            <w:r>
              <w:t xml:space="preserve">0.992 (0.987–0.995)</w:t>
            </w:r>
          </w:p>
        </w:tc>
        <w:tc>
          <w:tcPr/>
          <w:p>
            <w:pPr>
              <w:pStyle w:val="Compact"/>
              <w:jc w:val="left"/>
            </w:pPr>
            <w:r>
              <w:t xml:space="preserve">0.067 (0.012–0.298)</w:t>
            </w:r>
          </w:p>
        </w:tc>
        <w:tc>
          <w:tcPr/>
          <w:p>
            <w:pPr>
              <w:pStyle w:val="Compact"/>
              <w:jc w:val="left"/>
            </w:pPr>
            <w:r>
              <w:t xml:space="preserve">0.011 (0.000–0.033)</w:t>
            </w:r>
          </w:p>
        </w:tc>
        <w:tc>
          <w:tcPr/>
          <w:p>
            <w:pPr>
              <w:pStyle w:val="Compact"/>
              <w:jc w:val="left"/>
            </w:pPr>
            <w:r>
              <w:t xml:space="preserve">-0.005 (-0.030–0.034)</w:t>
            </w:r>
          </w:p>
        </w:tc>
      </w:tr>
      <w:tr>
        <w:tc>
          <w:tcPr/>
          <w:p>
            <w:pPr>
              <w:pStyle w:val="Compact"/>
              <w:jc w:val="left"/>
            </w:pPr>
            <w:r>
              <w:t xml:space="preserve">CQL sens-opt × Gemini 3.1 + RAG</w:t>
            </w:r>
          </w:p>
        </w:tc>
        <w:tc>
          <w:tcPr/>
          <w:p>
            <w:pPr>
              <w:pStyle w:val="Compact"/>
              <w:jc w:val="left"/>
            </w:pPr>
            <w:r>
              <w:t xml:space="preserve">0.000 (0.000–0.023)</w:t>
            </w:r>
          </w:p>
        </w:tc>
        <w:tc>
          <w:tcPr/>
          <w:p>
            <w:pPr>
              <w:pStyle w:val="Compact"/>
              <w:jc w:val="left"/>
            </w:pPr>
            <w:r>
              <w:t xml:space="preserve">1.000 (0.997–1.000)</w:t>
            </w:r>
          </w:p>
        </w:tc>
        <w:tc>
          <w:tcPr/>
          <w:p>
            <w:pPr>
              <w:pStyle w:val="Compact"/>
              <w:jc w:val="left"/>
            </w:pPr>
            <w:r>
              <w:t xml:space="preserve">0.000 (0.000–0.793)</w:t>
            </w:r>
          </w:p>
        </w:tc>
        <w:tc>
          <w:tcPr/>
          <w:p>
            <w:pPr>
              <w:pStyle w:val="Compact"/>
              <w:jc w:val="left"/>
            </w:pPr>
            <w:r>
              <w:t xml:space="preserve">0.000 (0.000–0.000)</w:t>
            </w:r>
          </w:p>
        </w:tc>
        <w:tc>
          <w:tcPr/>
          <w:p>
            <w:pPr>
              <w:pStyle w:val="Compact"/>
              <w:jc w:val="left"/>
            </w:pPr>
            <w:r>
              <w:t xml:space="preserve">-0.007 (-0.013–-0.007)</w:t>
            </w:r>
          </w:p>
        </w:tc>
      </w:tr>
      <w:tr>
        <w:tc>
          <w:tcPr/>
          <w:p>
            <w:pPr>
              <w:pStyle w:val="Compact"/>
              <w:jc w:val="left"/>
            </w:pPr>
            <w:r>
              <w:t xml:space="preserve">Gemini 3.1 Pro × Guardrails</w:t>
            </w:r>
          </w:p>
        </w:tc>
        <w:tc>
          <w:tcPr/>
          <w:p>
            <w:pPr>
              <w:pStyle w:val="Compact"/>
              <w:jc w:val="left"/>
            </w:pPr>
            <w:r>
              <w:t xml:space="preserve">0.000 (0.000–0.023)</w:t>
            </w:r>
          </w:p>
        </w:tc>
        <w:tc>
          <w:tcPr/>
          <w:p>
            <w:pPr>
              <w:pStyle w:val="Compact"/>
              <w:jc w:val="left"/>
            </w:pPr>
            <w:r>
              <w:t xml:space="preserve">1.000 (0.997–1.000)</w:t>
            </w:r>
          </w:p>
        </w:tc>
        <w:tc>
          <w:tcPr/>
          <w:p>
            <w:pPr>
              <w:pStyle w:val="Compact"/>
              <w:jc w:val="left"/>
            </w:pPr>
            <w:r>
              <w:t xml:space="preserve">0.000 (0.000–0.793)</w:t>
            </w:r>
          </w:p>
        </w:tc>
        <w:tc>
          <w:tcPr/>
          <w:p>
            <w:pPr>
              <w:pStyle w:val="Compact"/>
              <w:jc w:val="left"/>
            </w:pPr>
            <w:r>
              <w:t xml:space="preserve">0.000 (0.000–0.000)</w:t>
            </w:r>
          </w:p>
        </w:tc>
        <w:tc>
          <w:tcPr/>
          <w:p>
            <w:pPr>
              <w:pStyle w:val="Compact"/>
              <w:jc w:val="left"/>
            </w:pPr>
            <w:r>
              <w:t xml:space="preserve">-0.007 (-0.013–-0.007)</w:t>
            </w:r>
          </w:p>
        </w:tc>
      </w:tr>
      <w:tr>
        <w:tc>
          <w:tcPr/>
          <w:p>
            <w:pPr>
              <w:pStyle w:val="Compact"/>
              <w:jc w:val="left"/>
            </w:pPr>
            <w:r>
              <w:t xml:space="preserve">Constellation × Gemini 3.1 + RAG</w:t>
            </w:r>
          </w:p>
        </w:tc>
        <w:tc>
          <w:tcPr/>
          <w:p>
            <w:pPr>
              <w:pStyle w:val="Compact"/>
              <w:jc w:val="left"/>
            </w:pPr>
            <w:r>
              <w:t xml:space="preserve">0.000 (0.000–0.023)</w:t>
            </w:r>
          </w:p>
        </w:tc>
        <w:tc>
          <w:tcPr/>
          <w:p>
            <w:pPr>
              <w:pStyle w:val="Compact"/>
              <w:jc w:val="left"/>
            </w:pPr>
            <w:r>
              <w:t xml:space="preserve">0.998 (0.994–0.999)</w:t>
            </w:r>
          </w:p>
        </w:tc>
        <w:tc>
          <w:tcPr/>
          <w:p>
            <w:pPr>
              <w:pStyle w:val="Compact"/>
              <w:jc w:val="left"/>
            </w:pPr>
            <w:r>
              <w:t xml:space="preserve">0.000 (0.000–0.490)</w:t>
            </w:r>
          </w:p>
        </w:tc>
        <w:tc>
          <w:tcPr/>
          <w:p>
            <w:pPr>
              <w:pStyle w:val="Compact"/>
              <w:jc w:val="left"/>
            </w:pPr>
            <w:r>
              <w:t xml:space="preserve">0.000 (0.000–0.000)</w:t>
            </w:r>
          </w:p>
        </w:tc>
        <w:tc>
          <w:tcPr/>
          <w:p>
            <w:pPr>
              <w:pStyle w:val="Compact"/>
              <w:jc w:val="left"/>
            </w:pPr>
            <w:r>
              <w:t xml:space="preserve">-0.013 (-0.019–-0.007)</w:t>
            </w:r>
          </w:p>
        </w:tc>
      </w:tr>
      <w:tr>
        <w:tc>
          <w:tcPr/>
          <w:p>
            <w:pPr>
              <w:pStyle w:val="Compact"/>
              <w:jc w:val="left"/>
            </w:pPr>
            <w:r>
              <w:t xml:space="preserve">Gemini 3.1 + RAG × Gemini 3.1 Pro</w:t>
            </w:r>
          </w:p>
        </w:tc>
        <w:tc>
          <w:tcPr/>
          <w:p>
            <w:pPr>
              <w:pStyle w:val="Compact"/>
              <w:jc w:val="left"/>
            </w:pPr>
            <w:r>
              <w:t xml:space="preserve">0.000 (0.000–0.023)</w:t>
            </w:r>
          </w:p>
        </w:tc>
        <w:tc>
          <w:tcPr/>
          <w:p>
            <w:pPr>
              <w:pStyle w:val="Compact"/>
              <w:jc w:val="left"/>
            </w:pPr>
            <w:r>
              <w:t xml:space="preserve">0.998 (0.994–0.999)</w:t>
            </w:r>
          </w:p>
        </w:tc>
        <w:tc>
          <w:tcPr/>
          <w:p>
            <w:pPr>
              <w:pStyle w:val="Compact"/>
              <w:jc w:val="left"/>
            </w:pPr>
            <w:r>
              <w:t xml:space="preserve">0.000 (0.000–0.490)</w:t>
            </w:r>
          </w:p>
        </w:tc>
        <w:tc>
          <w:tcPr/>
          <w:p>
            <w:pPr>
              <w:pStyle w:val="Compact"/>
              <w:jc w:val="left"/>
            </w:pPr>
            <w:r>
              <w:t xml:space="preserve">0.000 (0.000–0.000)</w:t>
            </w:r>
          </w:p>
        </w:tc>
        <w:tc>
          <w:tcPr/>
          <w:p>
            <w:pPr>
              <w:pStyle w:val="Compact"/>
              <w:jc w:val="left"/>
            </w:pPr>
            <w:r>
              <w:t xml:space="preserve">-0.013 (-0.019–-0.007)</w:t>
            </w:r>
          </w:p>
        </w:tc>
      </w:tr>
      <w:tr>
        <w:tc>
          <w:tcPr/>
          <w:p>
            <w:pPr>
              <w:pStyle w:val="Compact"/>
              <w:jc w:val="left"/>
            </w:pPr>
            <w:r>
              <w:t xml:space="preserve">Gemini 3.1 + RAG × Guardrails</w:t>
            </w:r>
          </w:p>
        </w:tc>
        <w:tc>
          <w:tcPr/>
          <w:p>
            <w:pPr>
              <w:pStyle w:val="Compact"/>
              <w:jc w:val="left"/>
            </w:pPr>
            <w:r>
              <w:t xml:space="preserve">0.000 (0.000–0.023)</w:t>
            </w:r>
          </w:p>
        </w:tc>
        <w:tc>
          <w:tcPr/>
          <w:p>
            <w:pPr>
              <w:pStyle w:val="Compact"/>
              <w:jc w:val="left"/>
            </w:pPr>
            <w:r>
              <w:t xml:space="preserve">0.997 (0.994–0.999)</w:t>
            </w:r>
          </w:p>
        </w:tc>
        <w:tc>
          <w:tcPr/>
          <w:p>
            <w:pPr>
              <w:pStyle w:val="Compact"/>
              <w:jc w:val="left"/>
            </w:pPr>
            <w:r>
              <w:t xml:space="preserve">0.000 (0.000–0.434)</w:t>
            </w:r>
          </w:p>
        </w:tc>
        <w:tc>
          <w:tcPr/>
          <w:p>
            <w:pPr>
              <w:pStyle w:val="Compact"/>
              <w:jc w:val="left"/>
            </w:pPr>
            <w:r>
              <w:t xml:space="preserve">0.000 (0.000–0.000)</w:t>
            </w:r>
          </w:p>
        </w:tc>
        <w:tc>
          <w:tcPr/>
          <w:p>
            <w:pPr>
              <w:pStyle w:val="Compact"/>
              <w:jc w:val="left"/>
            </w:pPr>
            <w:r>
              <w:t xml:space="preserve">-0.015 (-0.021–-0.007)</w:t>
            </w:r>
          </w:p>
        </w:tc>
      </w:tr>
    </w:tbl>
    <w:p>
      <w:pPr>
        <w:pStyle w:val="BodyText"/>
      </w:pPr>
      <w:r>
        <w:t xml:space="preserve">Caption: All 72 (Stage 1, Stage 2) two-stage AND-rule cascade configurations evaluated on the 2000-message real-world test set. The Pareto frontier subset is highlighted in Table 5 of the main text. Sensitivity, specificity, and PPV are reported with Wilson 95% confidence intervals; F1 and MCC are reported with parametric-bootstrap 95% confidence intervals (500 iterations, seed 42).</w:t>
      </w:r>
    </w:p>
    <w:bookmarkEnd w:id="21"/>
    <w:bookmarkStart w:id="22" w:name="Xfb6c02ce7a84c878abb6acdd5db55843ceb82d1"/>
    <w:p>
      <w:pPr>
        <w:pStyle w:val="Heading3"/>
      </w:pPr>
      <w:r>
        <w:t xml:space="preserve">Table S4. Per-architecture sensitivity by hazard category on the real-world test set.</w:t>
      </w:r>
    </w:p>
    <w:tbl>
      <w:tblPr>
        <w:tblStyle w:val="Table"/>
        <w:tblW w:type="pct" w:w="5000"/>
        <w:tblLayout w:type="fixed"/>
        <w:tblLook w:firstRow="1" w:lastRow="0" w:firstColumn="0" w:lastColumn="0" w:noHBand="0" w:noVBand="0" w:val="0020"/>
      </w:tblPr>
      <w:tblGrid>
        <w:gridCol w:w="535"/>
        <w:gridCol w:w="231"/>
        <w:gridCol w:w="570"/>
        <w:gridCol w:w="660"/>
        <w:gridCol w:w="624"/>
        <w:gridCol w:w="481"/>
        <w:gridCol w:w="677"/>
        <w:gridCol w:w="535"/>
        <w:gridCol w:w="338"/>
        <w:gridCol w:w="445"/>
        <w:gridCol w:w="445"/>
        <w:gridCol w:w="535"/>
        <w:gridCol w:w="749"/>
        <w:gridCol w:w="660"/>
        <w:gridCol w:w="428"/>
      </w:tblGrid>
      <w:tr>
        <w:trPr>
          <w:tblHeader w:val="on"/>
        </w:trPr>
        <w:tc>
          <w:tcPr/>
          <w:p>
            <w:pPr>
              <w:pStyle w:val="Compact"/>
              <w:jc w:val="left"/>
            </w:pPr>
            <w:r>
              <w:t xml:space="preserve">Hazard category</w:t>
            </w:r>
          </w:p>
        </w:tc>
        <w:tc>
          <w:tcPr/>
          <w:p>
            <w:pPr>
              <w:pStyle w:val="Compact"/>
              <w:jc w:val="right"/>
            </w:pPr>
            <w:r>
              <w:t xml:space="preserve">N hazards</w:t>
            </w:r>
          </w:p>
        </w:tc>
        <w:tc>
          <w:tcPr/>
          <w:p>
            <w:pPr>
              <w:pStyle w:val="Compact"/>
              <w:jc w:val="left"/>
            </w:pPr>
            <w:r>
              <w:t xml:space="preserve">Logistic regression + TF-IDF</w:t>
            </w:r>
          </w:p>
        </w:tc>
        <w:tc>
          <w:tcPr/>
          <w:p>
            <w:pPr>
              <w:pStyle w:val="Compact"/>
              <w:jc w:val="left"/>
            </w:pPr>
            <w:r>
              <w:t xml:space="preserve">CQL controller (reward-optimized)</w:t>
            </w:r>
          </w:p>
        </w:tc>
        <w:tc>
          <w:tcPr/>
          <w:p>
            <w:pPr>
              <w:pStyle w:val="Compact"/>
              <w:jc w:val="left"/>
            </w:pPr>
            <w:r>
              <w:t xml:space="preserve">ActionHead (action recommender)</w:t>
            </w:r>
          </w:p>
        </w:tc>
        <w:tc>
          <w:tcPr/>
          <w:p>
            <w:pPr>
              <w:pStyle w:val="Compact"/>
              <w:jc w:val="left"/>
            </w:pPr>
            <w:r>
              <w:t xml:space="preserve">XGBoost + sentence-BERT</w:t>
            </w:r>
          </w:p>
        </w:tc>
        <w:tc>
          <w:tcPr/>
          <w:p>
            <w:pPr>
              <w:pStyle w:val="Compact"/>
              <w:jc w:val="left"/>
            </w:pPr>
            <w:r>
              <w:t xml:space="preserve">Claude Opus 4.7 (safety-augmented)</w:t>
            </w:r>
          </w:p>
        </w:tc>
        <w:tc>
          <w:tcPr/>
          <w:p>
            <w:pPr>
              <w:pStyle w:val="Compact"/>
              <w:jc w:val="left"/>
            </w:pPr>
            <w:r>
              <w:t xml:space="preserve">GPT-5.5 (safety-augmented)</w:t>
            </w:r>
          </w:p>
        </w:tc>
        <w:tc>
          <w:tcPr/>
          <w:p>
            <w:pPr>
              <w:pStyle w:val="Compact"/>
              <w:jc w:val="left"/>
            </w:pPr>
            <w:r>
              <w:t xml:space="preserve">GPT-5.5 (RAG)</w:t>
            </w:r>
          </w:p>
        </w:tc>
        <w:tc>
          <w:tcPr/>
          <w:p>
            <w:pPr>
              <w:pStyle w:val="Compact"/>
              <w:jc w:val="left"/>
            </w:pPr>
            <w:r>
              <w:t xml:space="preserve">Claude Opus 4.7 (RAG)</w:t>
            </w:r>
          </w:p>
        </w:tc>
        <w:tc>
          <w:tcPr/>
          <w:p>
            <w:pPr>
              <w:pStyle w:val="Compact"/>
              <w:jc w:val="left"/>
            </w:pPr>
            <w:r>
              <w:t xml:space="preserve">Rule-based guardrails</w:t>
            </w:r>
          </w:p>
        </w:tc>
        <w:tc>
          <w:tcPr/>
          <w:p>
            <w:pPr>
              <w:pStyle w:val="Compact"/>
              <w:jc w:val="left"/>
            </w:pPr>
            <w:r>
              <w:t xml:space="preserve">Constellation architecture</w:t>
            </w:r>
          </w:p>
        </w:tc>
        <w:tc>
          <w:tcPr/>
          <w:p>
            <w:pPr>
              <w:pStyle w:val="Compact"/>
              <w:jc w:val="left"/>
            </w:pPr>
            <w:r>
              <w:t xml:space="preserve">CQL controller (sensitivity-optimized)</w:t>
            </w:r>
          </w:p>
        </w:tc>
        <w:tc>
          <w:tcPr/>
          <w:p>
            <w:pPr>
              <w:pStyle w:val="Compact"/>
              <w:jc w:val="left"/>
            </w:pPr>
            <w:r>
              <w:t xml:space="preserve">Gemini 3.1 Pro (safety-augmented)</w:t>
            </w:r>
          </w:p>
        </w:tc>
        <w:tc>
          <w:tcPr/>
          <w:p>
            <w:pPr>
              <w:pStyle w:val="Compact"/>
              <w:jc w:val="left"/>
            </w:pPr>
            <w:r>
              <w:t xml:space="preserve">Gemini 3.1 Pro (RAG)</w:t>
            </w:r>
          </w:p>
        </w:tc>
      </w:tr>
      <w:tr>
        <w:tc>
          <w:tcPr/>
          <w:p>
            <w:pPr>
              <w:pStyle w:val="Compact"/>
              <w:jc w:val="left"/>
            </w:pPr>
            <w:r>
              <w:t xml:space="preserve">Behavioral other</w:t>
            </w:r>
          </w:p>
        </w:tc>
        <w:tc>
          <w:tcPr/>
          <w:p>
            <w:pPr>
              <w:pStyle w:val="Compact"/>
              <w:jc w:val="right"/>
            </w:pPr>
            <w:r>
              <w:t xml:space="preserve">12</w:t>
            </w:r>
          </w:p>
        </w:tc>
        <w:tc>
          <w:tcPr/>
          <w:p>
            <w:pPr>
              <w:pStyle w:val="Compact"/>
              <w:jc w:val="left"/>
            </w:pPr>
            <w:r>
              <w:t xml:space="preserve">1.000 [0.76–1.00]</w:t>
            </w:r>
          </w:p>
        </w:tc>
        <w:tc>
          <w:tcPr/>
          <w:p>
            <w:pPr>
              <w:pStyle w:val="Compact"/>
              <w:jc w:val="left"/>
            </w:pPr>
            <w:r>
              <w:t xml:space="preserve">1.000 [0.76–1.00]</w:t>
            </w:r>
          </w:p>
        </w:tc>
        <w:tc>
          <w:tcPr/>
          <w:p>
            <w:pPr>
              <w:pStyle w:val="Compact"/>
              <w:jc w:val="left"/>
            </w:pPr>
            <w:r>
              <w:t xml:space="preserve">0.667 [0.39–0.86]</w:t>
            </w:r>
          </w:p>
        </w:tc>
        <w:tc>
          <w:tcPr/>
          <w:p>
            <w:pPr>
              <w:pStyle w:val="Compact"/>
              <w:jc w:val="left"/>
            </w:pPr>
            <w:r>
              <w:t xml:space="preserve">0.417 [0.19–0.68]</w:t>
            </w:r>
          </w:p>
        </w:tc>
        <w:tc>
          <w:tcPr/>
          <w:p>
            <w:pPr>
              <w:pStyle w:val="Compact"/>
              <w:jc w:val="left"/>
            </w:pPr>
            <w:r>
              <w:t xml:space="preserve">0.500 [0.25–0.75]</w:t>
            </w:r>
          </w:p>
        </w:tc>
        <w:tc>
          <w:tcPr/>
          <w:p>
            <w:pPr>
              <w:pStyle w:val="Compact"/>
              <w:jc w:val="left"/>
            </w:pPr>
            <w:r>
              <w:t xml:space="preserve">0.583 [0.32–0.81]</w:t>
            </w:r>
          </w:p>
        </w:tc>
        <w:tc>
          <w:tcPr/>
          <w:p>
            <w:pPr>
              <w:pStyle w:val="Compact"/>
              <w:jc w:val="left"/>
            </w:pPr>
            <w:r>
              <w:t xml:space="preserve">0.500 [0.25–0.75]</w:t>
            </w:r>
          </w:p>
        </w:tc>
        <w:tc>
          <w:tcPr/>
          <w:p>
            <w:pPr>
              <w:pStyle w:val="Compact"/>
              <w:jc w:val="left"/>
            </w:pPr>
            <w:r>
              <w:t xml:space="preserve">0.250 [0.09–0.53]</w:t>
            </w:r>
          </w:p>
        </w:tc>
        <w:tc>
          <w:tcPr/>
          <w:p>
            <w:pPr>
              <w:pStyle w:val="Compact"/>
              <w:jc w:val="left"/>
            </w:pPr>
            <w:r>
              <w:t xml:space="preserve">0.000 [0.00–0.24]</w:t>
            </w:r>
          </w:p>
        </w:tc>
        <w:tc>
          <w:tcPr/>
          <w:p>
            <w:pPr>
              <w:pStyle w:val="Compact"/>
              <w:jc w:val="left"/>
            </w:pPr>
            <w:r>
              <w:t xml:space="preserve">0.000 [0.00–0.24]</w:t>
            </w:r>
          </w:p>
        </w:tc>
        <w:tc>
          <w:tcPr/>
          <w:p>
            <w:pPr>
              <w:pStyle w:val="Compact"/>
              <w:jc w:val="left"/>
            </w:pPr>
            <w:r>
              <w:t xml:space="preserve">0.000 [0.00–0.24]</w:t>
            </w:r>
          </w:p>
        </w:tc>
        <w:tc>
          <w:tcPr/>
          <w:p>
            <w:pPr>
              <w:pStyle w:val="Compact"/>
              <w:jc w:val="left"/>
            </w:pPr>
            <w:r>
              <w:t xml:space="preserve">0.000 [0.00–0.24]</w:t>
            </w:r>
          </w:p>
        </w:tc>
        <w:tc>
          <w:tcPr/>
          <w:p>
            <w:pPr>
              <w:pStyle w:val="Compact"/>
              <w:jc w:val="left"/>
            </w:pPr>
            <w:r>
              <w:t xml:space="preserve">0.000 [0.00–0.24]</w:t>
            </w:r>
          </w:p>
        </w:tc>
      </w:tr>
      <w:tr>
        <w:tc>
          <w:tcPr/>
          <w:p>
            <w:pPr>
              <w:pStyle w:val="Compact"/>
              <w:jc w:val="left"/>
            </w:pPr>
            <w:r>
              <w:t xml:space="preserve">Behavioral suicidality</w:t>
            </w:r>
          </w:p>
        </w:tc>
        <w:tc>
          <w:tcPr/>
          <w:p>
            <w:pPr>
              <w:pStyle w:val="Compact"/>
              <w:jc w:val="right"/>
            </w:pPr>
            <w:r>
              <w:t xml:space="preserve">7</w:t>
            </w:r>
          </w:p>
        </w:tc>
        <w:tc>
          <w:tcPr/>
          <w:p>
            <w:pPr>
              <w:pStyle w:val="Compact"/>
              <w:jc w:val="left"/>
            </w:pPr>
            <w:r>
              <w:t xml:space="preserve">1.000 [0.65–1.00]</w:t>
            </w:r>
          </w:p>
        </w:tc>
        <w:tc>
          <w:tcPr/>
          <w:p>
            <w:pPr>
              <w:pStyle w:val="Compact"/>
              <w:jc w:val="left"/>
            </w:pPr>
            <w:r>
              <w:t xml:space="preserve">1.000 [0.65–1.00]</w:t>
            </w:r>
          </w:p>
        </w:tc>
        <w:tc>
          <w:tcPr/>
          <w:p>
            <w:pPr>
              <w:pStyle w:val="Compact"/>
              <w:jc w:val="left"/>
            </w:pPr>
            <w:r>
              <w:t xml:space="preserve">0.857 [0.49–0.97]</w:t>
            </w:r>
          </w:p>
        </w:tc>
        <w:tc>
          <w:tcPr/>
          <w:p>
            <w:pPr>
              <w:pStyle w:val="Compact"/>
              <w:jc w:val="left"/>
            </w:pPr>
            <w:r>
              <w:t xml:space="preserve">0.571 [0.25–0.84]</w:t>
            </w:r>
          </w:p>
        </w:tc>
        <w:tc>
          <w:tcPr/>
          <w:p>
            <w:pPr>
              <w:pStyle w:val="Compact"/>
              <w:jc w:val="left"/>
            </w:pPr>
            <w:r>
              <w:t xml:space="preserve">0.714 [0.36–0.92]</w:t>
            </w:r>
          </w:p>
        </w:tc>
        <w:tc>
          <w:tcPr/>
          <w:p>
            <w:pPr>
              <w:pStyle w:val="Compact"/>
              <w:jc w:val="left"/>
            </w:pPr>
            <w:r>
              <w:t xml:space="preserve">0.429 [0.16–0.75]</w:t>
            </w:r>
          </w:p>
        </w:tc>
        <w:tc>
          <w:tcPr/>
          <w:p>
            <w:pPr>
              <w:pStyle w:val="Compact"/>
              <w:jc w:val="left"/>
            </w:pPr>
            <w:r>
              <w:t xml:space="preserve">0.429 [0.16–0.75]</w:t>
            </w:r>
          </w:p>
        </w:tc>
        <w:tc>
          <w:tcPr/>
          <w:p>
            <w:pPr>
              <w:pStyle w:val="Compact"/>
              <w:jc w:val="left"/>
            </w:pPr>
            <w:r>
              <w:t xml:space="preserve">0.286 [0.08–0.64]</w:t>
            </w:r>
          </w:p>
        </w:tc>
        <w:tc>
          <w:tcPr/>
          <w:p>
            <w:pPr>
              <w:pStyle w:val="Compact"/>
              <w:jc w:val="left"/>
            </w:pPr>
            <w:r>
              <w:t xml:space="preserve">0.000 [0.00–0.35]</w:t>
            </w:r>
          </w:p>
        </w:tc>
        <w:tc>
          <w:tcPr/>
          <w:p>
            <w:pPr>
              <w:pStyle w:val="Compact"/>
              <w:jc w:val="left"/>
            </w:pPr>
            <w:r>
              <w:t xml:space="preserve">0.286 [0.08–0.64]</w:t>
            </w:r>
          </w:p>
        </w:tc>
        <w:tc>
          <w:tcPr/>
          <w:p>
            <w:pPr>
              <w:pStyle w:val="Compact"/>
              <w:jc w:val="left"/>
            </w:pPr>
            <w:r>
              <w:t xml:space="preserve">0.286 [0.08–0.64]</w:t>
            </w:r>
          </w:p>
        </w:tc>
        <w:tc>
          <w:tcPr/>
          <w:p>
            <w:pPr>
              <w:pStyle w:val="Compact"/>
              <w:jc w:val="left"/>
            </w:pPr>
            <w:r>
              <w:t xml:space="preserve">0.143 [0.03–0.51]</w:t>
            </w:r>
          </w:p>
        </w:tc>
        <w:tc>
          <w:tcPr/>
          <w:p>
            <w:pPr>
              <w:pStyle w:val="Compact"/>
              <w:jc w:val="left"/>
            </w:pPr>
            <w:r>
              <w:t xml:space="preserve">0.000 [0.00–0.35]</w:t>
            </w:r>
          </w:p>
        </w:tc>
      </w:tr>
      <w:tr>
        <w:tc>
          <w:tcPr/>
          <w:p>
            <w:pPr>
              <w:pStyle w:val="Compact"/>
              <w:jc w:val="left"/>
            </w:pPr>
            <w:r>
              <w:t xml:space="preserve">Environmental housing safety</w:t>
            </w:r>
          </w:p>
        </w:tc>
        <w:tc>
          <w:tcPr/>
          <w:p>
            <w:pPr>
              <w:pStyle w:val="Compact"/>
              <w:jc w:val="right"/>
            </w:pPr>
            <w:r>
              <w:t xml:space="preserve">12</w:t>
            </w:r>
          </w:p>
        </w:tc>
        <w:tc>
          <w:tcPr/>
          <w:p>
            <w:pPr>
              <w:pStyle w:val="Compact"/>
              <w:jc w:val="left"/>
            </w:pPr>
            <w:r>
              <w:t xml:space="preserve">0.833 [0.55–0.95]</w:t>
            </w:r>
          </w:p>
        </w:tc>
        <w:tc>
          <w:tcPr/>
          <w:p>
            <w:pPr>
              <w:pStyle w:val="Compact"/>
              <w:jc w:val="left"/>
            </w:pPr>
            <w:r>
              <w:t xml:space="preserve">1.000 [0.76–1.00]</w:t>
            </w:r>
          </w:p>
        </w:tc>
        <w:tc>
          <w:tcPr/>
          <w:p>
            <w:pPr>
              <w:pStyle w:val="Compact"/>
              <w:jc w:val="left"/>
            </w:pPr>
            <w:r>
              <w:t xml:space="preserve">0.583 [0.32–0.81]</w:t>
            </w:r>
          </w:p>
        </w:tc>
        <w:tc>
          <w:tcPr/>
          <w:p>
            <w:pPr>
              <w:pStyle w:val="Compact"/>
              <w:jc w:val="left"/>
            </w:pPr>
            <w:r>
              <w:t xml:space="preserve">0.750 [0.47–0.91]</w:t>
            </w:r>
          </w:p>
        </w:tc>
        <w:tc>
          <w:tcPr/>
          <w:p>
            <w:pPr>
              <w:pStyle w:val="Compact"/>
              <w:jc w:val="left"/>
            </w:pPr>
            <w:r>
              <w:t xml:space="preserve">0.500 [0.25–0.75]</w:t>
            </w:r>
          </w:p>
        </w:tc>
        <w:tc>
          <w:tcPr/>
          <w:p>
            <w:pPr>
              <w:pStyle w:val="Compact"/>
              <w:jc w:val="left"/>
            </w:pPr>
            <w:r>
              <w:t xml:space="preserve">0.667 [0.39–0.86]</w:t>
            </w:r>
          </w:p>
        </w:tc>
        <w:tc>
          <w:tcPr/>
          <w:p>
            <w:pPr>
              <w:pStyle w:val="Compact"/>
              <w:jc w:val="left"/>
            </w:pPr>
            <w:r>
              <w:t xml:space="preserve">0.333 [0.14–0.61]</w:t>
            </w:r>
          </w:p>
        </w:tc>
        <w:tc>
          <w:tcPr/>
          <w:p>
            <w:pPr>
              <w:pStyle w:val="Compact"/>
              <w:jc w:val="left"/>
            </w:pPr>
            <w:r>
              <w:t xml:space="preserve">0.250 [0.09–0.53]</w:t>
            </w:r>
          </w:p>
        </w:tc>
        <w:tc>
          <w:tcPr/>
          <w:p>
            <w:pPr>
              <w:pStyle w:val="Compact"/>
              <w:jc w:val="left"/>
            </w:pPr>
            <w:r>
              <w:t xml:space="preserve">0.000 [0.00–0.24]</w:t>
            </w:r>
          </w:p>
        </w:tc>
        <w:tc>
          <w:tcPr/>
          <w:p>
            <w:pPr>
              <w:pStyle w:val="Compact"/>
              <w:jc w:val="left"/>
            </w:pPr>
            <w:r>
              <w:t xml:space="preserve">0.000 [0.00–0.24]</w:t>
            </w:r>
          </w:p>
        </w:tc>
        <w:tc>
          <w:tcPr/>
          <w:p>
            <w:pPr>
              <w:pStyle w:val="Compact"/>
              <w:jc w:val="left"/>
            </w:pPr>
            <w:r>
              <w:t xml:space="preserve">0.000 [0.00–0.24]</w:t>
            </w:r>
          </w:p>
        </w:tc>
        <w:tc>
          <w:tcPr/>
          <w:p>
            <w:pPr>
              <w:pStyle w:val="Compact"/>
              <w:jc w:val="left"/>
            </w:pPr>
            <w:r>
              <w:t xml:space="preserve">0.000 [0.00–0.24]</w:t>
            </w:r>
          </w:p>
        </w:tc>
        <w:tc>
          <w:tcPr/>
          <w:p>
            <w:pPr>
              <w:pStyle w:val="Compact"/>
              <w:jc w:val="left"/>
            </w:pPr>
            <w:r>
              <w:t xml:space="preserve">0.000 [0.00–0.24]</w:t>
            </w:r>
          </w:p>
        </w:tc>
      </w:tr>
      <w:tr>
        <w:tc>
          <w:tcPr/>
          <w:p>
            <w:pPr>
              <w:pStyle w:val="Compact"/>
              <w:jc w:val="left"/>
            </w:pPr>
            <w:r>
              <w:t xml:space="preserve">Falls mobility</w:t>
            </w:r>
          </w:p>
        </w:tc>
        <w:tc>
          <w:tcPr/>
          <w:p>
            <w:pPr>
              <w:pStyle w:val="Compact"/>
              <w:jc w:val="right"/>
            </w:pPr>
            <w:r>
              <w:t xml:space="preserve">7</w:t>
            </w:r>
          </w:p>
        </w:tc>
        <w:tc>
          <w:tcPr/>
          <w:p>
            <w:pPr>
              <w:pStyle w:val="Compact"/>
              <w:jc w:val="left"/>
            </w:pPr>
            <w:r>
              <w:t xml:space="preserve">1.000 [0.65–1.00]</w:t>
            </w:r>
          </w:p>
        </w:tc>
        <w:tc>
          <w:tcPr/>
          <w:p>
            <w:pPr>
              <w:pStyle w:val="Compact"/>
              <w:jc w:val="left"/>
            </w:pPr>
            <w:r>
              <w:t xml:space="preserve">1.000 [0.65–1.00]</w:t>
            </w:r>
          </w:p>
        </w:tc>
        <w:tc>
          <w:tcPr/>
          <w:p>
            <w:pPr>
              <w:pStyle w:val="Compact"/>
              <w:jc w:val="left"/>
            </w:pPr>
            <w:r>
              <w:t xml:space="preserve">0.714 [0.36–0.92]</w:t>
            </w:r>
          </w:p>
        </w:tc>
        <w:tc>
          <w:tcPr/>
          <w:p>
            <w:pPr>
              <w:pStyle w:val="Compact"/>
              <w:jc w:val="left"/>
            </w:pPr>
            <w:r>
              <w:t xml:space="preserve">0.571 [0.25–0.84]</w:t>
            </w:r>
          </w:p>
        </w:tc>
        <w:tc>
          <w:tcPr/>
          <w:p>
            <w:pPr>
              <w:pStyle w:val="Compact"/>
              <w:jc w:val="left"/>
            </w:pPr>
            <w:r>
              <w:t xml:space="preserve">0.571 [0.25–0.84]</w:t>
            </w:r>
          </w:p>
        </w:tc>
        <w:tc>
          <w:tcPr/>
          <w:p>
            <w:pPr>
              <w:pStyle w:val="Compact"/>
              <w:jc w:val="left"/>
            </w:pPr>
            <w:r>
              <w:t xml:space="preserve">0.571 [0.25–0.84]</w:t>
            </w:r>
          </w:p>
        </w:tc>
        <w:tc>
          <w:tcPr/>
          <w:p>
            <w:pPr>
              <w:pStyle w:val="Compact"/>
              <w:jc w:val="left"/>
            </w:pPr>
            <w:r>
              <w:t xml:space="preserve">0.286 [0.08–0.64]</w:t>
            </w:r>
          </w:p>
        </w:tc>
        <w:tc>
          <w:tcPr/>
          <w:p>
            <w:pPr>
              <w:pStyle w:val="Compact"/>
              <w:jc w:val="left"/>
            </w:pPr>
            <w:r>
              <w:t xml:space="preserve">0.286 [0.08–0.64]</w:t>
            </w:r>
          </w:p>
        </w:tc>
        <w:tc>
          <w:tcPr/>
          <w:p>
            <w:pPr>
              <w:pStyle w:val="Compact"/>
              <w:jc w:val="left"/>
            </w:pPr>
            <w:r>
              <w:t xml:space="preserve">0.143 [0.03–0.51]</w:t>
            </w:r>
          </w:p>
        </w:tc>
        <w:tc>
          <w:tcPr/>
          <w:p>
            <w:pPr>
              <w:pStyle w:val="Compact"/>
              <w:jc w:val="left"/>
            </w:pPr>
            <w:r>
              <w:t xml:space="preserve">0.000 [0.00–0.35]</w:t>
            </w:r>
          </w:p>
        </w:tc>
        <w:tc>
          <w:tcPr/>
          <w:p>
            <w:pPr>
              <w:pStyle w:val="Compact"/>
              <w:jc w:val="left"/>
            </w:pPr>
            <w:r>
              <w:t xml:space="preserve">0.000 [0.00–0.35]</w:t>
            </w:r>
          </w:p>
        </w:tc>
        <w:tc>
          <w:tcPr/>
          <w:p>
            <w:pPr>
              <w:pStyle w:val="Compact"/>
              <w:jc w:val="left"/>
            </w:pPr>
            <w:r>
              <w:t xml:space="preserve">0.000 [0.00–0.35]</w:t>
            </w:r>
          </w:p>
        </w:tc>
        <w:tc>
          <w:tcPr/>
          <w:p>
            <w:pPr>
              <w:pStyle w:val="Compact"/>
              <w:jc w:val="left"/>
            </w:pPr>
            <w:r>
              <w:t xml:space="preserve">0.000 [0.00–0.35]</w:t>
            </w:r>
          </w:p>
        </w:tc>
      </w:tr>
      <w:tr>
        <w:tc>
          <w:tcPr/>
          <w:p>
            <w:pPr>
              <w:pStyle w:val="Compact"/>
              <w:jc w:val="left"/>
            </w:pPr>
            <w:r>
              <w:t xml:space="preserve">Med safety</w:t>
            </w:r>
          </w:p>
        </w:tc>
        <w:tc>
          <w:tcPr/>
          <w:p>
            <w:pPr>
              <w:pStyle w:val="Compact"/>
              <w:jc w:val="right"/>
            </w:pPr>
            <w:r>
              <w:t xml:space="preserve">9</w:t>
            </w:r>
          </w:p>
        </w:tc>
        <w:tc>
          <w:tcPr/>
          <w:p>
            <w:pPr>
              <w:pStyle w:val="Compact"/>
              <w:jc w:val="left"/>
            </w:pPr>
            <w:r>
              <w:t xml:space="preserve">1.000 [0.70–1.00]</w:t>
            </w:r>
          </w:p>
        </w:tc>
        <w:tc>
          <w:tcPr/>
          <w:p>
            <w:pPr>
              <w:pStyle w:val="Compact"/>
              <w:jc w:val="left"/>
            </w:pPr>
            <w:r>
              <w:t xml:space="preserve">1.000 [0.70–1.00]</w:t>
            </w:r>
          </w:p>
        </w:tc>
        <w:tc>
          <w:tcPr/>
          <w:p>
            <w:pPr>
              <w:pStyle w:val="Compact"/>
              <w:jc w:val="left"/>
            </w:pPr>
            <w:r>
              <w:t xml:space="preserve">0.333 [0.12–0.65]</w:t>
            </w:r>
          </w:p>
        </w:tc>
        <w:tc>
          <w:tcPr/>
          <w:p>
            <w:pPr>
              <w:pStyle w:val="Compact"/>
              <w:jc w:val="left"/>
            </w:pPr>
            <w:r>
              <w:t xml:space="preserve">0.889 [0.56–0.98]</w:t>
            </w:r>
          </w:p>
        </w:tc>
        <w:tc>
          <w:tcPr/>
          <w:p>
            <w:pPr>
              <w:pStyle w:val="Compact"/>
              <w:jc w:val="left"/>
            </w:pPr>
            <w:r>
              <w:t xml:space="preserve">0.333 [0.12–0.65]</w:t>
            </w:r>
          </w:p>
        </w:tc>
        <w:tc>
          <w:tcPr/>
          <w:p>
            <w:pPr>
              <w:pStyle w:val="Compact"/>
              <w:jc w:val="left"/>
            </w:pPr>
            <w:r>
              <w:t xml:space="preserve">0.333 [0.12–0.65]</w:t>
            </w:r>
          </w:p>
        </w:tc>
        <w:tc>
          <w:tcPr/>
          <w:p>
            <w:pPr>
              <w:pStyle w:val="Compact"/>
              <w:jc w:val="left"/>
            </w:pPr>
            <w:r>
              <w:t xml:space="preserve">0.444 [0.19–0.73]</w:t>
            </w:r>
          </w:p>
        </w:tc>
        <w:tc>
          <w:tcPr/>
          <w:p>
            <w:pPr>
              <w:pStyle w:val="Compact"/>
              <w:jc w:val="left"/>
            </w:pPr>
            <w:r>
              <w:t xml:space="preserve">0.333 [0.12–0.65]</w:t>
            </w:r>
          </w:p>
        </w:tc>
        <w:tc>
          <w:tcPr/>
          <w:p>
            <w:pPr>
              <w:pStyle w:val="Compact"/>
              <w:jc w:val="left"/>
            </w:pPr>
            <w:r>
              <w:t xml:space="preserve">0.222 [0.06–0.55]</w:t>
            </w:r>
          </w:p>
        </w:tc>
        <w:tc>
          <w:tcPr/>
          <w:p>
            <w:pPr>
              <w:pStyle w:val="Compact"/>
              <w:jc w:val="left"/>
            </w:pPr>
            <w:r>
              <w:t xml:space="preserve">0.111 [0.02–0.44]</w:t>
            </w:r>
          </w:p>
        </w:tc>
        <w:tc>
          <w:tcPr/>
          <w:p>
            <w:pPr>
              <w:pStyle w:val="Compact"/>
              <w:jc w:val="left"/>
            </w:pPr>
            <w:r>
              <w:t xml:space="preserve">0.000 [0.00–0.30]</w:t>
            </w:r>
          </w:p>
        </w:tc>
        <w:tc>
          <w:tcPr/>
          <w:p>
            <w:pPr>
              <w:pStyle w:val="Compact"/>
              <w:jc w:val="left"/>
            </w:pPr>
            <w:r>
              <w:t xml:space="preserve">0.000 [0.00–0.30]</w:t>
            </w:r>
          </w:p>
        </w:tc>
        <w:tc>
          <w:tcPr/>
          <w:p>
            <w:pPr>
              <w:pStyle w:val="Compact"/>
              <w:jc w:val="left"/>
            </w:pPr>
            <w:r>
              <w:t xml:space="preserve">0.000 [0.00–0.30]</w:t>
            </w:r>
          </w:p>
        </w:tc>
      </w:tr>
      <w:tr>
        <w:tc>
          <w:tcPr/>
          <w:p>
            <w:pPr>
              <w:pStyle w:val="Compact"/>
              <w:jc w:val="left"/>
            </w:pPr>
            <w:r>
              <w:t xml:space="preserve">Other hazard</w:t>
            </w:r>
          </w:p>
        </w:tc>
        <w:tc>
          <w:tcPr/>
          <w:p>
            <w:pPr>
              <w:pStyle w:val="Compact"/>
              <w:jc w:val="right"/>
            </w:pPr>
            <w:r>
              <w:t xml:space="preserve">112</w:t>
            </w:r>
          </w:p>
        </w:tc>
        <w:tc>
          <w:tcPr/>
          <w:p>
            <w:pPr>
              <w:pStyle w:val="Compact"/>
              <w:jc w:val="left"/>
            </w:pPr>
            <w:r>
              <w:t xml:space="preserve">0.973 [0.92–0.99]</w:t>
            </w:r>
          </w:p>
        </w:tc>
        <w:tc>
          <w:tcPr/>
          <w:p>
            <w:pPr>
              <w:pStyle w:val="Compact"/>
              <w:jc w:val="left"/>
            </w:pPr>
            <w:r>
              <w:t xml:space="preserve">0.911 [0.84–0.95]</w:t>
            </w:r>
          </w:p>
        </w:tc>
        <w:tc>
          <w:tcPr/>
          <w:p>
            <w:pPr>
              <w:pStyle w:val="Compact"/>
              <w:jc w:val="left"/>
            </w:pPr>
            <w:r>
              <w:t xml:space="preserve">0.321 [0.24–0.41]</w:t>
            </w:r>
          </w:p>
        </w:tc>
        <w:tc>
          <w:tcPr/>
          <w:p>
            <w:pPr>
              <w:pStyle w:val="Compact"/>
              <w:jc w:val="left"/>
            </w:pPr>
            <w:r>
              <w:t xml:space="preserve">0.339 [0.26–0.43]</w:t>
            </w:r>
          </w:p>
        </w:tc>
        <w:tc>
          <w:tcPr/>
          <w:p>
            <w:pPr>
              <w:pStyle w:val="Compact"/>
              <w:jc w:val="left"/>
            </w:pPr>
            <w:r>
              <w:t xml:space="preserve">0.188 [0.13–0.27]</w:t>
            </w:r>
          </w:p>
        </w:tc>
        <w:tc>
          <w:tcPr/>
          <w:p>
            <w:pPr>
              <w:pStyle w:val="Compact"/>
              <w:jc w:val="left"/>
            </w:pPr>
            <w:r>
              <w:t xml:space="preserve">0.214 [0.15–0.30]</w:t>
            </w:r>
          </w:p>
        </w:tc>
        <w:tc>
          <w:tcPr/>
          <w:p>
            <w:pPr>
              <w:pStyle w:val="Compact"/>
              <w:jc w:val="left"/>
            </w:pPr>
            <w:r>
              <w:t xml:space="preserve">0.179 [0.12–0.26]</w:t>
            </w:r>
          </w:p>
        </w:tc>
        <w:tc>
          <w:tcPr/>
          <w:p>
            <w:pPr>
              <w:pStyle w:val="Compact"/>
              <w:jc w:val="left"/>
            </w:pPr>
            <w:r>
              <w:t xml:space="preserve">0.170 [0.11–0.25]</w:t>
            </w:r>
          </w:p>
        </w:tc>
        <w:tc>
          <w:tcPr/>
          <w:p>
            <w:pPr>
              <w:pStyle w:val="Compact"/>
              <w:jc w:val="left"/>
            </w:pPr>
            <w:r>
              <w:t xml:space="preserve">0.054 [0.02–0.11]</w:t>
            </w:r>
          </w:p>
        </w:tc>
        <w:tc>
          <w:tcPr/>
          <w:p>
            <w:pPr>
              <w:pStyle w:val="Compact"/>
              <w:jc w:val="left"/>
            </w:pPr>
            <w:r>
              <w:t xml:space="preserve">0.071 [0.04–0.13]</w:t>
            </w:r>
          </w:p>
        </w:tc>
        <w:tc>
          <w:tcPr/>
          <w:p>
            <w:pPr>
              <w:pStyle w:val="Compact"/>
              <w:jc w:val="left"/>
            </w:pPr>
            <w:r>
              <w:t xml:space="preserve">0.018 [0.00–0.06]</w:t>
            </w:r>
          </w:p>
        </w:tc>
        <w:tc>
          <w:tcPr/>
          <w:p>
            <w:pPr>
              <w:pStyle w:val="Compact"/>
              <w:jc w:val="left"/>
            </w:pPr>
            <w:r>
              <w:t xml:space="preserve">0.018 [0.00–0.06]</w:t>
            </w:r>
          </w:p>
        </w:tc>
        <w:tc>
          <w:tcPr/>
          <w:p>
            <w:pPr>
              <w:pStyle w:val="Compact"/>
              <w:jc w:val="left"/>
            </w:pPr>
            <w:r>
              <w:t xml:space="preserve">0.036 [0.01–0.09]</w:t>
            </w:r>
          </w:p>
        </w:tc>
      </w:tr>
      <w:tr>
        <w:tc>
          <w:tcPr/>
          <w:p>
            <w:pPr>
              <w:pStyle w:val="Compact"/>
              <w:jc w:val="left"/>
            </w:pPr>
            <w:r>
              <w:t xml:space="preserve">Substance use</w:t>
            </w:r>
          </w:p>
        </w:tc>
        <w:tc>
          <w:tcPr/>
          <w:p>
            <w:pPr>
              <w:pStyle w:val="Compact"/>
              <w:jc w:val="right"/>
            </w:pPr>
            <w:r>
              <w:t xml:space="preserve">4</w:t>
            </w:r>
          </w:p>
        </w:tc>
        <w:tc>
          <w:tcPr/>
          <w:p>
            <w:pPr>
              <w:pStyle w:val="Compact"/>
              <w:jc w:val="left"/>
            </w:pPr>
            <w:r>
              <w:t xml:space="preserve">1.000 [0.51–1.00]</w:t>
            </w:r>
          </w:p>
        </w:tc>
        <w:tc>
          <w:tcPr/>
          <w:p>
            <w:pPr>
              <w:pStyle w:val="Compact"/>
              <w:jc w:val="left"/>
            </w:pPr>
            <w:r>
              <w:t xml:space="preserve">0.750 [0.30–0.95]</w:t>
            </w:r>
          </w:p>
        </w:tc>
        <w:tc>
          <w:tcPr/>
          <w:p>
            <w:pPr>
              <w:pStyle w:val="Compact"/>
              <w:jc w:val="left"/>
            </w:pPr>
            <w:r>
              <w:t xml:space="preserve">0.750 [0.30–0.95]</w:t>
            </w:r>
          </w:p>
        </w:tc>
        <w:tc>
          <w:tcPr/>
          <w:p>
            <w:pPr>
              <w:pStyle w:val="Compact"/>
              <w:jc w:val="left"/>
            </w:pPr>
            <w:r>
              <w:t xml:space="preserve">0.250 [0.05–0.70]</w:t>
            </w:r>
          </w:p>
        </w:tc>
        <w:tc>
          <w:tcPr/>
          <w:p>
            <w:pPr>
              <w:pStyle w:val="Compact"/>
              <w:jc w:val="left"/>
            </w:pPr>
            <w:r>
              <w:t xml:space="preserve">0.750 [0.30–0.95]</w:t>
            </w:r>
          </w:p>
        </w:tc>
        <w:tc>
          <w:tcPr/>
          <w:p>
            <w:pPr>
              <w:pStyle w:val="Compact"/>
              <w:jc w:val="left"/>
            </w:pPr>
            <w:r>
              <w:t xml:space="preserve">0.750 [0.30–0.95]</w:t>
            </w:r>
          </w:p>
        </w:tc>
        <w:tc>
          <w:tcPr/>
          <w:p>
            <w:pPr>
              <w:pStyle w:val="Compact"/>
              <w:jc w:val="left"/>
            </w:pPr>
            <w:r>
              <w:t xml:space="preserve">0.750 [0.30–0.95]</w:t>
            </w:r>
          </w:p>
        </w:tc>
        <w:tc>
          <w:tcPr/>
          <w:p>
            <w:pPr>
              <w:pStyle w:val="Compact"/>
              <w:jc w:val="left"/>
            </w:pPr>
            <w:r>
              <w:t xml:space="preserve">0.750 [0.30–0.95]</w:t>
            </w:r>
          </w:p>
        </w:tc>
        <w:tc>
          <w:tcPr/>
          <w:p>
            <w:pPr>
              <w:pStyle w:val="Compact"/>
              <w:jc w:val="left"/>
            </w:pPr>
            <w:r>
              <w:t xml:space="preserve">0.250 [0.05–0.70]</w:t>
            </w:r>
          </w:p>
        </w:tc>
        <w:tc>
          <w:tcPr/>
          <w:p>
            <w:pPr>
              <w:pStyle w:val="Compact"/>
              <w:jc w:val="left"/>
            </w:pPr>
            <w:r>
              <w:t xml:space="preserve">0.000 [0.00–0.49]</w:t>
            </w:r>
          </w:p>
        </w:tc>
        <w:tc>
          <w:tcPr/>
          <w:p>
            <w:pPr>
              <w:pStyle w:val="Compact"/>
              <w:jc w:val="left"/>
            </w:pPr>
            <w:r>
              <w:t xml:space="preserve">0.000 [0.00–0.49]</w:t>
            </w:r>
          </w:p>
        </w:tc>
        <w:tc>
          <w:tcPr/>
          <w:p>
            <w:pPr>
              <w:pStyle w:val="Compact"/>
              <w:jc w:val="left"/>
            </w:pPr>
            <w:r>
              <w:t xml:space="preserve">0.000 [0.00–0.49]</w:t>
            </w:r>
          </w:p>
        </w:tc>
        <w:tc>
          <w:tcPr/>
          <w:p>
            <w:pPr>
              <w:pStyle w:val="Compact"/>
              <w:jc w:val="left"/>
            </w:pPr>
            <w:r>
              <w:t xml:space="preserve">0.000 [0.00–0.49]</w:t>
            </w:r>
          </w:p>
        </w:tc>
      </w:tr>
    </w:tbl>
    <w:p>
      <w:pPr>
        <w:pStyle w:val="BodyText"/>
      </w:pPr>
      <w:r>
        <w:t xml:space="preserve">Caption: Sensitivity stratified by physician-adjudicated hazard category, restricted to categories with at least three adjudicated hazards in the real-world test set. Categories are ordered by row index; architecture columns are ordered by mean sensitivity across categories. The</w:t>
      </w:r>
      <w:r>
        <w:t xml:space="preserve"> </w:t>
      </w:r>
      <w:r>
        <w:t xml:space="preserve">‘other_hazard’</w:t>
      </w:r>
      <w:r>
        <w:t xml:space="preserve"> </w:t>
      </w:r>
      <w:r>
        <w:t xml:space="preserve">category includes hazards not falling into the named clinical categories and accounts for the majority of test-set hazards by count, reflecting the natural case mix of a Medicaid managed care messaging service. Behavioral suicidality is the highest-sensitivity category across architectures; the</w:t>
      </w:r>
      <w:r>
        <w:t xml:space="preserve"> </w:t>
      </w:r>
      <w:r>
        <w:t xml:space="preserve">‘other_hazard’</w:t>
      </w:r>
      <w:r>
        <w:t xml:space="preserve"> </w:t>
      </w:r>
      <w:r>
        <w:t xml:space="preserve">residual is the lowest-sensitivity category, indicating that the architectures’ performance is best on the most prototypically presented hazard categories and worst on the heterogeneous remainder.</w:t>
      </w:r>
    </w:p>
    <w:bookmarkEnd w:id="22"/>
    <w:bookmarkStart w:id="23" w:name="X672cd7aa35fc93f26274eda6b62ab8397ddfec3"/>
    <w:p>
      <w:pPr>
        <w:pStyle w:val="Heading3"/>
      </w:pPr>
      <w:r>
        <w:t xml:space="preserve">Table S5. Full pairwise McNemar matrix with Hochberg step-up correction.</w:t>
      </w:r>
    </w:p>
    <w:tbl>
      <w:tblPr>
        <w:tblStyle w:val="Table"/>
        <w:tblW w:type="pct" w:w="5000"/>
        <w:tblLayout w:type="fixed"/>
        <w:tblLook w:firstRow="1" w:lastRow="0" w:firstColumn="0" w:lastColumn="0" w:noHBand="0" w:noVBand="0" w:val="0020"/>
      </w:tblPr>
      <w:tblGrid>
        <w:gridCol w:w="2230"/>
        <w:gridCol w:w="2230"/>
        <w:gridCol w:w="780"/>
        <w:gridCol w:w="836"/>
        <w:gridCol w:w="1840"/>
      </w:tblGrid>
      <w:tr>
        <w:trPr>
          <w:tblHeader w:val="on"/>
        </w:trPr>
        <w:tc>
          <w:tcPr/>
          <w:p>
            <w:pPr>
              <w:pStyle w:val="Compact"/>
              <w:jc w:val="left"/>
            </w:pPr>
            <w:r>
              <w:t xml:space="preserve">Architecture A</w:t>
            </w:r>
          </w:p>
        </w:tc>
        <w:tc>
          <w:tcPr/>
          <w:p>
            <w:pPr>
              <w:pStyle w:val="Compact"/>
              <w:jc w:val="left"/>
            </w:pPr>
            <w:r>
              <w:t xml:space="preserve">Architecture B</w:t>
            </w:r>
          </w:p>
        </w:tc>
        <w:tc>
          <w:tcPr/>
          <w:p>
            <w:pPr>
              <w:pStyle w:val="Compact"/>
              <w:jc w:val="right"/>
            </w:pPr>
            <w:r>
              <w:t xml:space="preserve">Chi-square</w:t>
            </w:r>
          </w:p>
        </w:tc>
        <w:tc>
          <w:tcPr/>
          <w:p>
            <w:pPr>
              <w:pStyle w:val="Compact"/>
              <w:jc w:val="right"/>
            </w:pPr>
            <w:r>
              <w:t xml:space="preserve">Raw p-value</w:t>
            </w:r>
          </w:p>
        </w:tc>
        <w:tc>
          <w:tcPr/>
          <w:p>
            <w:pPr>
              <w:pStyle w:val="Compact"/>
              <w:jc w:val="left"/>
            </w:pPr>
            <w:r>
              <w:t xml:space="preserve">Hochberg significant (α=0.05)</w:t>
            </w:r>
          </w:p>
        </w:tc>
      </w:tr>
      <w:tr>
        <w:tc>
          <w:tcPr/>
          <w:p>
            <w:pPr>
              <w:pStyle w:val="Compact"/>
              <w:jc w:val="left"/>
            </w:pPr>
            <w:r>
              <w:t xml:space="preserve">ActionHead (action recommender)</w:t>
            </w:r>
          </w:p>
        </w:tc>
        <w:tc>
          <w:tcPr/>
          <w:p>
            <w:pPr>
              <w:pStyle w:val="Compact"/>
              <w:jc w:val="left"/>
            </w:pPr>
            <w:r>
              <w:t xml:space="preserve">Claude Opus 4.7 (safety-augmented)</w:t>
            </w:r>
          </w:p>
        </w:tc>
        <w:tc>
          <w:tcPr/>
          <w:p>
            <w:pPr>
              <w:pStyle w:val="Compact"/>
              <w:jc w:val="right"/>
            </w:pPr>
            <w:r>
              <w:t xml:space="preserve">6.557</w:t>
            </w:r>
          </w:p>
        </w:tc>
        <w:tc>
          <w:tcPr/>
          <w:p>
            <w:pPr>
              <w:pStyle w:val="Compact"/>
              <w:jc w:val="right"/>
            </w:pPr>
            <w:r>
              <w:t xml:space="preserve">0.0104</w:t>
            </w:r>
          </w:p>
        </w:tc>
        <w:tc>
          <w:tcPr/>
          <w:p>
            <w:pPr>
              <w:pStyle w:val="Compact"/>
              <w:jc w:val="left"/>
            </w:pPr>
            <w:r>
              <w:t xml:space="preserve">No</w:t>
            </w:r>
          </w:p>
        </w:tc>
      </w:tr>
      <w:tr>
        <w:tc>
          <w:tcPr/>
          <w:p>
            <w:pPr>
              <w:pStyle w:val="Compact"/>
              <w:jc w:val="left"/>
            </w:pPr>
            <w:r>
              <w:t xml:space="preserve">ActionHead (action recommender)</w:t>
            </w:r>
          </w:p>
        </w:tc>
        <w:tc>
          <w:tcPr/>
          <w:p>
            <w:pPr>
              <w:pStyle w:val="Compact"/>
              <w:jc w:val="left"/>
            </w:pPr>
            <w:r>
              <w:t xml:space="preserve">Constellation architecture</w:t>
            </w:r>
          </w:p>
        </w:tc>
        <w:tc>
          <w:tcPr/>
          <w:p>
            <w:pPr>
              <w:pStyle w:val="Compact"/>
              <w:jc w:val="right"/>
            </w:pPr>
            <w:r>
              <w:t xml:space="preserve">51.754</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ActionHead (action recommender)</w:t>
            </w:r>
          </w:p>
        </w:tc>
        <w:tc>
          <w:tcPr/>
          <w:p>
            <w:pPr>
              <w:pStyle w:val="Compact"/>
              <w:jc w:val="left"/>
            </w:pPr>
            <w:r>
              <w:t xml:space="preserve">CQL controller (reward-optimized)</w:t>
            </w:r>
          </w:p>
        </w:tc>
        <w:tc>
          <w:tcPr/>
          <w:p>
            <w:pPr>
              <w:pStyle w:val="Compact"/>
              <w:jc w:val="right"/>
            </w:pPr>
            <w:r>
              <w:t xml:space="preserve">78.284</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ActionHead (action recommender)</w:t>
            </w:r>
          </w:p>
        </w:tc>
        <w:tc>
          <w:tcPr/>
          <w:p>
            <w:pPr>
              <w:pStyle w:val="Compact"/>
              <w:jc w:val="left"/>
            </w:pPr>
            <w:r>
              <w:t xml:space="preserve">CQL controller (sensitivity-optimized)</w:t>
            </w:r>
          </w:p>
        </w:tc>
        <w:tc>
          <w:tcPr/>
          <w:p>
            <w:pPr>
              <w:pStyle w:val="Compact"/>
              <w:jc w:val="right"/>
            </w:pPr>
            <w:r>
              <w:t xml:space="preserve">64.015</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ActionHead (action recommender)</w:t>
            </w:r>
          </w:p>
        </w:tc>
        <w:tc>
          <w:tcPr/>
          <w:p>
            <w:pPr>
              <w:pStyle w:val="Compact"/>
              <w:jc w:val="left"/>
            </w:pPr>
            <w:r>
              <w:t xml:space="preserve">Gemini 3.1 Pro (safety-augmented)</w:t>
            </w:r>
          </w:p>
        </w:tc>
        <w:tc>
          <w:tcPr/>
          <w:p>
            <w:pPr>
              <w:pStyle w:val="Compact"/>
              <w:jc w:val="right"/>
            </w:pPr>
            <w:r>
              <w:t xml:space="preserve">63.13</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ActionHead (action recommender)</w:t>
            </w:r>
          </w:p>
        </w:tc>
        <w:tc>
          <w:tcPr/>
          <w:p>
            <w:pPr>
              <w:pStyle w:val="Compact"/>
              <w:jc w:val="left"/>
            </w:pPr>
            <w:r>
              <w:t xml:space="preserve">Rule-based guardrails</w:t>
            </w:r>
          </w:p>
        </w:tc>
        <w:tc>
          <w:tcPr/>
          <w:p>
            <w:pPr>
              <w:pStyle w:val="Compact"/>
              <w:jc w:val="right"/>
            </w:pPr>
            <w:r>
              <w:t xml:space="preserve">48.347</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ActionHead (action recommender)</w:t>
            </w:r>
          </w:p>
        </w:tc>
        <w:tc>
          <w:tcPr/>
          <w:p>
            <w:pPr>
              <w:pStyle w:val="Compact"/>
              <w:jc w:val="left"/>
            </w:pPr>
            <w:r>
              <w:t xml:space="preserve">Logistic regression + TF-IDF</w:t>
            </w:r>
          </w:p>
        </w:tc>
        <w:tc>
          <w:tcPr/>
          <w:p>
            <w:pPr>
              <w:pStyle w:val="Compact"/>
              <w:jc w:val="right"/>
            </w:pPr>
            <w:r>
              <w:t xml:space="preserve">86.098</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ActionHead (action recommender)</w:t>
            </w:r>
          </w:p>
        </w:tc>
        <w:tc>
          <w:tcPr/>
          <w:p>
            <w:pPr>
              <w:pStyle w:val="Compact"/>
              <w:jc w:val="left"/>
            </w:pPr>
            <w:r>
              <w:t xml:space="preserve">XGBoost + sentence-BERT</w:t>
            </w:r>
          </w:p>
        </w:tc>
        <w:tc>
          <w:tcPr/>
          <w:p>
            <w:pPr>
              <w:pStyle w:val="Compact"/>
              <w:jc w:val="right"/>
            </w:pPr>
            <w:r>
              <w:t xml:space="preserve">0.018</w:t>
            </w:r>
          </w:p>
        </w:tc>
        <w:tc>
          <w:tcPr/>
          <w:p>
            <w:pPr>
              <w:pStyle w:val="Compact"/>
              <w:jc w:val="right"/>
            </w:pPr>
            <w:r>
              <w:t xml:space="preserve">0.8937</w:t>
            </w:r>
          </w:p>
        </w:tc>
        <w:tc>
          <w:tcPr/>
          <w:p>
            <w:pPr>
              <w:pStyle w:val="Compact"/>
              <w:jc w:val="left"/>
            </w:pPr>
            <w:r>
              <w:t xml:space="preserve">No</w:t>
            </w:r>
          </w:p>
        </w:tc>
      </w:tr>
      <w:tr>
        <w:tc>
          <w:tcPr/>
          <w:p>
            <w:pPr>
              <w:pStyle w:val="Compact"/>
              <w:jc w:val="left"/>
            </w:pPr>
            <w:r>
              <w:t xml:space="preserve">ActionHead (action recommender)</w:t>
            </w:r>
          </w:p>
        </w:tc>
        <w:tc>
          <w:tcPr/>
          <w:p>
            <w:pPr>
              <w:pStyle w:val="Compact"/>
              <w:jc w:val="left"/>
            </w:pPr>
            <w:r>
              <w:t xml:space="preserve">Claude Opus 4.7 (RAG)</w:t>
            </w:r>
          </w:p>
        </w:tc>
        <w:tc>
          <w:tcPr/>
          <w:p>
            <w:pPr>
              <w:pStyle w:val="Compact"/>
              <w:jc w:val="right"/>
            </w:pPr>
            <w:r>
              <w:t xml:space="preserve">18.15</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ActionHead (action recommender)</w:t>
            </w:r>
          </w:p>
        </w:tc>
        <w:tc>
          <w:tcPr/>
          <w:p>
            <w:pPr>
              <w:pStyle w:val="Compact"/>
              <w:jc w:val="left"/>
            </w:pPr>
            <w:r>
              <w:t xml:space="preserve">Gemini 3.1 Pro (RAG)</w:t>
            </w:r>
          </w:p>
        </w:tc>
        <w:tc>
          <w:tcPr/>
          <w:p>
            <w:pPr>
              <w:pStyle w:val="Compact"/>
              <w:jc w:val="right"/>
            </w:pPr>
            <w:r>
              <w:t xml:space="preserve">58.681</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ActionHead (action recommender)</w:t>
            </w:r>
          </w:p>
        </w:tc>
        <w:tc>
          <w:tcPr/>
          <w:p>
            <w:pPr>
              <w:pStyle w:val="Compact"/>
              <w:jc w:val="left"/>
            </w:pPr>
            <w:r>
              <w:t xml:space="preserve">GPT-5.5 (safety-augmented)</w:t>
            </w:r>
          </w:p>
        </w:tc>
        <w:tc>
          <w:tcPr/>
          <w:p>
            <w:pPr>
              <w:pStyle w:val="Compact"/>
              <w:jc w:val="right"/>
            </w:pPr>
            <w:r>
              <w:t xml:space="preserve">4.83</w:t>
            </w:r>
          </w:p>
        </w:tc>
        <w:tc>
          <w:tcPr/>
          <w:p>
            <w:pPr>
              <w:pStyle w:val="Compact"/>
              <w:jc w:val="right"/>
            </w:pPr>
            <w:r>
              <w:t xml:space="preserve">0.028</w:t>
            </w:r>
          </w:p>
        </w:tc>
        <w:tc>
          <w:tcPr/>
          <w:p>
            <w:pPr>
              <w:pStyle w:val="Compact"/>
              <w:jc w:val="left"/>
            </w:pPr>
            <w:r>
              <w:t xml:space="preserve">No</w:t>
            </w:r>
          </w:p>
        </w:tc>
      </w:tr>
      <w:tr>
        <w:tc>
          <w:tcPr/>
          <w:p>
            <w:pPr>
              <w:pStyle w:val="Compact"/>
              <w:jc w:val="left"/>
            </w:pPr>
            <w:r>
              <w:t xml:space="preserve">ActionHead (action recommender)</w:t>
            </w:r>
          </w:p>
        </w:tc>
        <w:tc>
          <w:tcPr/>
          <w:p>
            <w:pPr>
              <w:pStyle w:val="Compact"/>
              <w:jc w:val="left"/>
            </w:pPr>
            <w:r>
              <w:t xml:space="preserve">GPT-5.5 (RAG)</w:t>
            </w:r>
          </w:p>
        </w:tc>
        <w:tc>
          <w:tcPr/>
          <w:p>
            <w:pPr>
              <w:pStyle w:val="Compact"/>
              <w:jc w:val="right"/>
            </w:pPr>
            <w:r>
              <w:t xml:space="preserve">11.458</w:t>
            </w:r>
          </w:p>
        </w:tc>
        <w:tc>
          <w:tcPr/>
          <w:p>
            <w:pPr>
              <w:pStyle w:val="Compact"/>
              <w:jc w:val="right"/>
            </w:pPr>
            <w:r>
              <w:t xml:space="preserve">0.0007</w:t>
            </w:r>
          </w:p>
        </w:tc>
        <w:tc>
          <w:tcPr/>
          <w:p>
            <w:pPr>
              <w:pStyle w:val="Compact"/>
              <w:jc w:val="left"/>
            </w:pPr>
            <w:r>
              <w:t xml:space="preserve">Yes</w:t>
            </w:r>
          </w:p>
        </w:tc>
      </w:tr>
      <w:tr>
        <w:tc>
          <w:tcPr/>
          <w:p>
            <w:pPr>
              <w:pStyle w:val="Compact"/>
              <w:jc w:val="left"/>
            </w:pPr>
            <w:r>
              <w:t xml:space="preserve">Claude Opus 4.7 (safety-augmented)</w:t>
            </w:r>
          </w:p>
        </w:tc>
        <w:tc>
          <w:tcPr/>
          <w:p>
            <w:pPr>
              <w:pStyle w:val="Compact"/>
              <w:jc w:val="left"/>
            </w:pPr>
            <w:r>
              <w:t xml:space="preserve">Constellation architecture</w:t>
            </w:r>
          </w:p>
        </w:tc>
        <w:tc>
          <w:tcPr/>
          <w:p>
            <w:pPr>
              <w:pStyle w:val="Compact"/>
              <w:jc w:val="right"/>
            </w:pPr>
            <w:r>
              <w:t xml:space="preserve">29.761</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Claude Opus 4.7 (safety-augmented)</w:t>
            </w:r>
          </w:p>
        </w:tc>
        <w:tc>
          <w:tcPr/>
          <w:p>
            <w:pPr>
              <w:pStyle w:val="Compact"/>
              <w:jc w:val="left"/>
            </w:pPr>
            <w:r>
              <w:t xml:space="preserve">CQL controller (reward-optimized)</w:t>
            </w:r>
          </w:p>
        </w:tc>
        <w:tc>
          <w:tcPr/>
          <w:p>
            <w:pPr>
              <w:pStyle w:val="Compact"/>
              <w:jc w:val="right"/>
            </w:pPr>
            <w:r>
              <w:t xml:space="preserve">103.01</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Claude Opus 4.7 (safety-augmented)</w:t>
            </w:r>
          </w:p>
        </w:tc>
        <w:tc>
          <w:tcPr/>
          <w:p>
            <w:pPr>
              <w:pStyle w:val="Compact"/>
              <w:jc w:val="left"/>
            </w:pPr>
            <w:r>
              <w:t xml:space="preserve">CQL controller (sensitivity-optimized)</w:t>
            </w:r>
          </w:p>
        </w:tc>
        <w:tc>
          <w:tcPr/>
          <w:p>
            <w:pPr>
              <w:pStyle w:val="Compact"/>
              <w:jc w:val="right"/>
            </w:pPr>
            <w:r>
              <w:t xml:space="preserve">41.191</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Claude Opus 4.7 (safety-augmented)</w:t>
            </w:r>
          </w:p>
        </w:tc>
        <w:tc>
          <w:tcPr/>
          <w:p>
            <w:pPr>
              <w:pStyle w:val="Compact"/>
              <w:jc w:val="left"/>
            </w:pPr>
            <w:r>
              <w:t xml:space="preserve">Gemini 3.1 Pro (safety-augmented)</w:t>
            </w:r>
          </w:p>
        </w:tc>
        <w:tc>
          <w:tcPr/>
          <w:p>
            <w:pPr>
              <w:pStyle w:val="Compact"/>
              <w:jc w:val="right"/>
            </w:pPr>
            <w:r>
              <w:t xml:space="preserve">44.022</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Claude Opus 4.7 (safety-augmented)</w:t>
            </w:r>
          </w:p>
        </w:tc>
        <w:tc>
          <w:tcPr/>
          <w:p>
            <w:pPr>
              <w:pStyle w:val="Compact"/>
              <w:jc w:val="left"/>
            </w:pPr>
            <w:r>
              <w:t xml:space="preserve">Rule-based guardrails</w:t>
            </w:r>
          </w:p>
        </w:tc>
        <w:tc>
          <w:tcPr/>
          <w:p>
            <w:pPr>
              <w:pStyle w:val="Compact"/>
              <w:jc w:val="right"/>
            </w:pPr>
            <w:r>
              <w:t xml:space="preserve">29.469</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Claude Opus 4.7 (safety-augmented)</w:t>
            </w:r>
          </w:p>
        </w:tc>
        <w:tc>
          <w:tcPr/>
          <w:p>
            <w:pPr>
              <w:pStyle w:val="Compact"/>
              <w:jc w:val="left"/>
            </w:pPr>
            <w:r>
              <w:t xml:space="preserve">Logistic regression + TF-IDF</w:t>
            </w:r>
          </w:p>
        </w:tc>
        <w:tc>
          <w:tcPr/>
          <w:p>
            <w:pPr>
              <w:pStyle w:val="Compact"/>
              <w:jc w:val="right"/>
            </w:pPr>
            <w:r>
              <w:t xml:space="preserve">107.08</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Claude Opus 4.7 (safety-augmented)</w:t>
            </w:r>
          </w:p>
        </w:tc>
        <w:tc>
          <w:tcPr/>
          <w:p>
            <w:pPr>
              <w:pStyle w:val="Compact"/>
              <w:jc w:val="left"/>
            </w:pPr>
            <w:r>
              <w:t xml:space="preserve">XGBoost + sentence-BERT</w:t>
            </w:r>
          </w:p>
        </w:tc>
        <w:tc>
          <w:tcPr/>
          <w:p>
            <w:pPr>
              <w:pStyle w:val="Compact"/>
              <w:jc w:val="right"/>
            </w:pPr>
            <w:r>
              <w:t xml:space="preserve">5.97</w:t>
            </w:r>
          </w:p>
        </w:tc>
        <w:tc>
          <w:tcPr/>
          <w:p>
            <w:pPr>
              <w:pStyle w:val="Compact"/>
              <w:jc w:val="right"/>
            </w:pPr>
            <w:r>
              <w:t xml:space="preserve">0.0146</w:t>
            </w:r>
          </w:p>
        </w:tc>
        <w:tc>
          <w:tcPr/>
          <w:p>
            <w:pPr>
              <w:pStyle w:val="Compact"/>
              <w:jc w:val="left"/>
            </w:pPr>
            <w:r>
              <w:t xml:space="preserve">No</w:t>
            </w:r>
          </w:p>
        </w:tc>
      </w:tr>
      <w:tr>
        <w:tc>
          <w:tcPr/>
          <w:p>
            <w:pPr>
              <w:pStyle w:val="Compact"/>
              <w:jc w:val="left"/>
            </w:pPr>
            <w:r>
              <w:t xml:space="preserve">Claude Opus 4.7 (safety-augmented)</w:t>
            </w:r>
          </w:p>
        </w:tc>
        <w:tc>
          <w:tcPr/>
          <w:p>
            <w:pPr>
              <w:pStyle w:val="Compact"/>
              <w:jc w:val="left"/>
            </w:pPr>
            <w:r>
              <w:t xml:space="preserve">Claude Opus 4.7 (RAG)</w:t>
            </w:r>
          </w:p>
        </w:tc>
        <w:tc>
          <w:tcPr/>
          <w:p>
            <w:pPr>
              <w:pStyle w:val="Compact"/>
              <w:jc w:val="right"/>
            </w:pPr>
            <w:r>
              <w:t xml:space="preserve">6.261</w:t>
            </w:r>
          </w:p>
        </w:tc>
        <w:tc>
          <w:tcPr/>
          <w:p>
            <w:pPr>
              <w:pStyle w:val="Compact"/>
              <w:jc w:val="right"/>
            </w:pPr>
            <w:r>
              <w:t xml:space="preserve">0.0123</w:t>
            </w:r>
          </w:p>
        </w:tc>
        <w:tc>
          <w:tcPr/>
          <w:p>
            <w:pPr>
              <w:pStyle w:val="Compact"/>
              <w:jc w:val="left"/>
            </w:pPr>
            <w:r>
              <w:t xml:space="preserve">No</w:t>
            </w:r>
          </w:p>
        </w:tc>
      </w:tr>
      <w:tr>
        <w:tc>
          <w:tcPr/>
          <w:p>
            <w:pPr>
              <w:pStyle w:val="Compact"/>
              <w:jc w:val="left"/>
            </w:pPr>
            <w:r>
              <w:t xml:space="preserve">Claude Opus 4.7 (safety-augmented)</w:t>
            </w:r>
          </w:p>
        </w:tc>
        <w:tc>
          <w:tcPr/>
          <w:p>
            <w:pPr>
              <w:pStyle w:val="Compact"/>
              <w:jc w:val="left"/>
            </w:pPr>
            <w:r>
              <w:t xml:space="preserve">Gemini 3.1 Pro (RAG)</w:t>
            </w:r>
          </w:p>
        </w:tc>
        <w:tc>
          <w:tcPr/>
          <w:p>
            <w:pPr>
              <w:pStyle w:val="Compact"/>
              <w:jc w:val="right"/>
            </w:pPr>
            <w:r>
              <w:t xml:space="preserve">41.191</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Claude Opus 4.7 (safety-augmented)</w:t>
            </w:r>
          </w:p>
        </w:tc>
        <w:tc>
          <w:tcPr/>
          <w:p>
            <w:pPr>
              <w:pStyle w:val="Compact"/>
              <w:jc w:val="left"/>
            </w:pPr>
            <w:r>
              <w:t xml:space="preserve">GPT-5.5 (safety-augmented)</w:t>
            </w:r>
          </w:p>
        </w:tc>
        <w:tc>
          <w:tcPr/>
          <w:p>
            <w:pPr>
              <w:pStyle w:val="Compact"/>
              <w:jc w:val="right"/>
            </w:pPr>
            <w:r>
              <w:t xml:space="preserve">0.375</w:t>
            </w:r>
          </w:p>
        </w:tc>
        <w:tc>
          <w:tcPr/>
          <w:p>
            <w:pPr>
              <w:pStyle w:val="Compact"/>
              <w:jc w:val="right"/>
            </w:pPr>
            <w:r>
              <w:t xml:space="preserve">0.5403</w:t>
            </w:r>
          </w:p>
        </w:tc>
        <w:tc>
          <w:tcPr/>
          <w:p>
            <w:pPr>
              <w:pStyle w:val="Compact"/>
              <w:jc w:val="left"/>
            </w:pPr>
            <w:r>
              <w:t xml:space="preserve">No</w:t>
            </w:r>
          </w:p>
        </w:tc>
      </w:tr>
      <w:tr>
        <w:tc>
          <w:tcPr/>
          <w:p>
            <w:pPr>
              <w:pStyle w:val="Compact"/>
              <w:jc w:val="left"/>
            </w:pPr>
            <w:r>
              <w:t xml:space="preserve">Claude Opus 4.7 (safety-augmented)</w:t>
            </w:r>
          </w:p>
        </w:tc>
        <w:tc>
          <w:tcPr/>
          <w:p>
            <w:pPr>
              <w:pStyle w:val="Compact"/>
              <w:jc w:val="left"/>
            </w:pPr>
            <w:r>
              <w:t xml:space="preserve">GPT-5.5 (RAG)</w:t>
            </w:r>
          </w:p>
        </w:tc>
        <w:tc>
          <w:tcPr/>
          <w:p>
            <w:pPr>
              <w:pStyle w:val="Compact"/>
              <w:jc w:val="right"/>
            </w:pPr>
            <w:r>
              <w:t xml:space="preserve">1.042</w:t>
            </w:r>
          </w:p>
        </w:tc>
        <w:tc>
          <w:tcPr/>
          <w:p>
            <w:pPr>
              <w:pStyle w:val="Compact"/>
              <w:jc w:val="right"/>
            </w:pPr>
            <w:r>
              <w:t xml:space="preserve">0.3074</w:t>
            </w:r>
          </w:p>
        </w:tc>
        <w:tc>
          <w:tcPr/>
          <w:p>
            <w:pPr>
              <w:pStyle w:val="Compact"/>
              <w:jc w:val="left"/>
            </w:pPr>
            <w:r>
              <w:t xml:space="preserve">No</w:t>
            </w:r>
          </w:p>
        </w:tc>
      </w:tr>
      <w:tr>
        <w:tc>
          <w:tcPr/>
          <w:p>
            <w:pPr>
              <w:pStyle w:val="Compact"/>
              <w:jc w:val="left"/>
            </w:pPr>
            <w:r>
              <w:t xml:space="preserve">Constellation architecture</w:t>
            </w:r>
          </w:p>
        </w:tc>
        <w:tc>
          <w:tcPr/>
          <w:p>
            <w:pPr>
              <w:pStyle w:val="Compact"/>
              <w:jc w:val="left"/>
            </w:pPr>
            <w:r>
              <w:t xml:space="preserve">CQL controller (reward-optimized)</w:t>
            </w:r>
          </w:p>
        </w:tc>
        <w:tc>
          <w:tcPr/>
          <w:p>
            <w:pPr>
              <w:pStyle w:val="Compact"/>
              <w:jc w:val="right"/>
            </w:pPr>
            <w:r>
              <w:t xml:space="preserve">141.007</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Constellation architecture</w:t>
            </w:r>
          </w:p>
        </w:tc>
        <w:tc>
          <w:tcPr/>
          <w:p>
            <w:pPr>
              <w:pStyle w:val="Compact"/>
              <w:jc w:val="left"/>
            </w:pPr>
            <w:r>
              <w:t xml:space="preserve">CQL controller (sensitivity-optimized)</w:t>
            </w:r>
          </w:p>
        </w:tc>
        <w:tc>
          <w:tcPr/>
          <w:p>
            <w:pPr>
              <w:pStyle w:val="Compact"/>
              <w:jc w:val="right"/>
            </w:pPr>
            <w:r>
              <w:t xml:space="preserve">5.143</w:t>
            </w:r>
          </w:p>
        </w:tc>
        <w:tc>
          <w:tcPr/>
          <w:p>
            <w:pPr>
              <w:pStyle w:val="Compact"/>
              <w:jc w:val="right"/>
            </w:pPr>
            <w:r>
              <w:t xml:space="preserve">0.0233</w:t>
            </w:r>
          </w:p>
        </w:tc>
        <w:tc>
          <w:tcPr/>
          <w:p>
            <w:pPr>
              <w:pStyle w:val="Compact"/>
              <w:jc w:val="left"/>
            </w:pPr>
            <w:r>
              <w:t xml:space="preserve">No</w:t>
            </w:r>
          </w:p>
        </w:tc>
      </w:tr>
      <w:tr>
        <w:tc>
          <w:tcPr/>
          <w:p>
            <w:pPr>
              <w:pStyle w:val="Compact"/>
              <w:jc w:val="left"/>
            </w:pPr>
            <w:r>
              <w:t xml:space="preserve">Constellation architecture</w:t>
            </w:r>
          </w:p>
        </w:tc>
        <w:tc>
          <w:tcPr/>
          <w:p>
            <w:pPr>
              <w:pStyle w:val="Compact"/>
              <w:jc w:val="left"/>
            </w:pPr>
            <w:r>
              <w:t xml:space="preserve">Gemini 3.1 Pro (safety-augmented)</w:t>
            </w:r>
          </w:p>
        </w:tc>
        <w:tc>
          <w:tcPr/>
          <w:p>
            <w:pPr>
              <w:pStyle w:val="Compact"/>
              <w:jc w:val="right"/>
            </w:pPr>
            <w:r>
              <w:t xml:space="preserve">4.9</w:t>
            </w:r>
          </w:p>
        </w:tc>
        <w:tc>
          <w:tcPr/>
          <w:p>
            <w:pPr>
              <w:pStyle w:val="Compact"/>
              <w:jc w:val="right"/>
            </w:pPr>
            <w:r>
              <w:t xml:space="preserve">0.0269</w:t>
            </w:r>
          </w:p>
        </w:tc>
        <w:tc>
          <w:tcPr/>
          <w:p>
            <w:pPr>
              <w:pStyle w:val="Compact"/>
              <w:jc w:val="left"/>
            </w:pPr>
            <w:r>
              <w:t xml:space="preserve">No</w:t>
            </w:r>
          </w:p>
        </w:tc>
      </w:tr>
      <w:tr>
        <w:tc>
          <w:tcPr/>
          <w:p>
            <w:pPr>
              <w:pStyle w:val="Compact"/>
              <w:jc w:val="left"/>
            </w:pPr>
            <w:r>
              <w:t xml:space="preserve">Constellation architecture</w:t>
            </w:r>
          </w:p>
        </w:tc>
        <w:tc>
          <w:tcPr/>
          <w:p>
            <w:pPr>
              <w:pStyle w:val="Compact"/>
              <w:jc w:val="left"/>
            </w:pPr>
            <w:r>
              <w:t xml:space="preserve">Rule-based guardrails</w:t>
            </w:r>
          </w:p>
        </w:tc>
        <w:tc>
          <w:tcPr/>
          <w:p>
            <w:pPr>
              <w:pStyle w:val="Compact"/>
              <w:jc w:val="right"/>
            </w:pPr>
            <w:r>
              <w:t xml:space="preserve">0</w:t>
            </w:r>
          </w:p>
        </w:tc>
        <w:tc>
          <w:tcPr/>
          <w:p>
            <w:pPr>
              <w:pStyle w:val="Compact"/>
              <w:jc w:val="right"/>
            </w:pPr>
            <w:r>
              <w:t xml:space="preserve">1</w:t>
            </w:r>
          </w:p>
        </w:tc>
        <w:tc>
          <w:tcPr/>
          <w:p>
            <w:pPr>
              <w:pStyle w:val="Compact"/>
              <w:jc w:val="left"/>
            </w:pPr>
            <w:r>
              <w:t xml:space="preserve">No</w:t>
            </w:r>
          </w:p>
        </w:tc>
      </w:tr>
      <w:tr>
        <w:tc>
          <w:tcPr/>
          <w:p>
            <w:pPr>
              <w:pStyle w:val="Compact"/>
              <w:jc w:val="left"/>
            </w:pPr>
            <w:r>
              <w:t xml:space="preserve">Constellation architecture</w:t>
            </w:r>
          </w:p>
        </w:tc>
        <w:tc>
          <w:tcPr/>
          <w:p>
            <w:pPr>
              <w:pStyle w:val="Compact"/>
              <w:jc w:val="left"/>
            </w:pPr>
            <w:r>
              <w:t xml:space="preserve">Logistic regression + TF-IDF</w:t>
            </w:r>
          </w:p>
        </w:tc>
        <w:tc>
          <w:tcPr/>
          <w:p>
            <w:pPr>
              <w:pStyle w:val="Compact"/>
              <w:jc w:val="right"/>
            </w:pPr>
            <w:r>
              <w:t xml:space="preserve">147.007</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Constellation architecture</w:t>
            </w:r>
          </w:p>
        </w:tc>
        <w:tc>
          <w:tcPr/>
          <w:p>
            <w:pPr>
              <w:pStyle w:val="Compact"/>
              <w:jc w:val="left"/>
            </w:pPr>
            <w:r>
              <w:t xml:space="preserve">XGBoost + sentence-BERT</w:t>
            </w:r>
          </w:p>
        </w:tc>
        <w:tc>
          <w:tcPr/>
          <w:p>
            <w:pPr>
              <w:pStyle w:val="Compact"/>
              <w:jc w:val="right"/>
            </w:pPr>
            <w:r>
              <w:t xml:space="preserve">57.017</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Constellation architecture</w:t>
            </w:r>
          </w:p>
        </w:tc>
        <w:tc>
          <w:tcPr/>
          <w:p>
            <w:pPr>
              <w:pStyle w:val="Compact"/>
              <w:jc w:val="left"/>
            </w:pPr>
            <w:r>
              <w:t xml:space="preserve">Claude Opus 4.7 (RAG)</w:t>
            </w:r>
          </w:p>
        </w:tc>
        <w:tc>
          <w:tcPr/>
          <w:p>
            <w:pPr>
              <w:pStyle w:val="Compact"/>
              <w:jc w:val="right"/>
            </w:pPr>
            <w:r>
              <w:t xml:space="preserve">14.769</w:t>
            </w:r>
          </w:p>
        </w:tc>
        <w:tc>
          <w:tcPr/>
          <w:p>
            <w:pPr>
              <w:pStyle w:val="Compact"/>
              <w:jc w:val="right"/>
            </w:pPr>
            <w:r>
              <w:t xml:space="preserve">0.0001</w:t>
            </w:r>
          </w:p>
        </w:tc>
        <w:tc>
          <w:tcPr/>
          <w:p>
            <w:pPr>
              <w:pStyle w:val="Compact"/>
              <w:jc w:val="left"/>
            </w:pPr>
            <w:r>
              <w:t xml:space="preserve">Yes</w:t>
            </w:r>
          </w:p>
        </w:tc>
      </w:tr>
      <w:tr>
        <w:tc>
          <w:tcPr/>
          <w:p>
            <w:pPr>
              <w:pStyle w:val="Compact"/>
              <w:jc w:val="left"/>
            </w:pPr>
            <w:r>
              <w:t xml:space="preserve">Constellation architecture</w:t>
            </w:r>
          </w:p>
        </w:tc>
        <w:tc>
          <w:tcPr/>
          <w:p>
            <w:pPr>
              <w:pStyle w:val="Compact"/>
              <w:jc w:val="left"/>
            </w:pPr>
            <w:r>
              <w:t xml:space="preserve">Gemini 3.1 Pro (RAG)</w:t>
            </w:r>
          </w:p>
        </w:tc>
        <w:tc>
          <w:tcPr/>
          <w:p>
            <w:pPr>
              <w:pStyle w:val="Compact"/>
              <w:jc w:val="right"/>
            </w:pPr>
            <w:r>
              <w:t xml:space="preserve">2.4</w:t>
            </w:r>
          </w:p>
        </w:tc>
        <w:tc>
          <w:tcPr/>
          <w:p>
            <w:pPr>
              <w:pStyle w:val="Compact"/>
              <w:jc w:val="right"/>
            </w:pPr>
            <w:r>
              <w:t xml:space="preserve">0.1213</w:t>
            </w:r>
          </w:p>
        </w:tc>
        <w:tc>
          <w:tcPr/>
          <w:p>
            <w:pPr>
              <w:pStyle w:val="Compact"/>
              <w:jc w:val="left"/>
            </w:pPr>
            <w:r>
              <w:t xml:space="preserve">No</w:t>
            </w:r>
          </w:p>
        </w:tc>
      </w:tr>
      <w:tr>
        <w:tc>
          <w:tcPr/>
          <w:p>
            <w:pPr>
              <w:pStyle w:val="Compact"/>
              <w:jc w:val="left"/>
            </w:pPr>
            <w:r>
              <w:t xml:space="preserve">Constellation architecture</w:t>
            </w:r>
          </w:p>
        </w:tc>
        <w:tc>
          <w:tcPr/>
          <w:p>
            <w:pPr>
              <w:pStyle w:val="Compact"/>
              <w:jc w:val="left"/>
            </w:pPr>
            <w:r>
              <w:t xml:space="preserve">GPT-5.5 (safety-augmented)</w:t>
            </w:r>
          </w:p>
        </w:tc>
        <w:tc>
          <w:tcPr/>
          <w:p>
            <w:pPr>
              <w:pStyle w:val="Compact"/>
              <w:jc w:val="right"/>
            </w:pPr>
            <w:r>
              <w:t xml:space="preserve">35.021</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Constellation architecture</w:t>
            </w:r>
          </w:p>
        </w:tc>
        <w:tc>
          <w:tcPr/>
          <w:p>
            <w:pPr>
              <w:pStyle w:val="Compact"/>
              <w:jc w:val="left"/>
            </w:pPr>
            <w:r>
              <w:t xml:space="preserve">GPT-5.5 (RAG)</w:t>
            </w:r>
          </w:p>
        </w:tc>
        <w:tc>
          <w:tcPr/>
          <w:p>
            <w:pPr>
              <w:pStyle w:val="Compact"/>
              <w:jc w:val="right"/>
            </w:pPr>
            <w:r>
              <w:t xml:space="preserve">22.881</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CQL controller (reward-optimized)</w:t>
            </w:r>
          </w:p>
        </w:tc>
        <w:tc>
          <w:tcPr/>
          <w:p>
            <w:pPr>
              <w:pStyle w:val="Compact"/>
              <w:jc w:val="left"/>
            </w:pPr>
            <w:r>
              <w:t xml:space="preserve">CQL controller (sensitivity-optimized)</w:t>
            </w:r>
          </w:p>
        </w:tc>
        <w:tc>
          <w:tcPr/>
          <w:p>
            <w:pPr>
              <w:pStyle w:val="Compact"/>
              <w:jc w:val="right"/>
            </w:pPr>
            <w:r>
              <w:t xml:space="preserve">148.007</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CQL controller (reward-optimized)</w:t>
            </w:r>
          </w:p>
        </w:tc>
        <w:tc>
          <w:tcPr/>
          <w:p>
            <w:pPr>
              <w:pStyle w:val="Compact"/>
              <w:jc w:val="left"/>
            </w:pPr>
            <w:r>
              <w:t xml:space="preserve">Gemini 3.1 Pro (safety-augmented)</w:t>
            </w:r>
          </w:p>
        </w:tc>
        <w:tc>
          <w:tcPr/>
          <w:p>
            <w:pPr>
              <w:pStyle w:val="Compact"/>
              <w:jc w:val="right"/>
            </w:pPr>
            <w:r>
              <w:t xml:space="preserve">149.007</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CQL controller (reward-optimized)</w:t>
            </w:r>
          </w:p>
        </w:tc>
        <w:tc>
          <w:tcPr/>
          <w:p>
            <w:pPr>
              <w:pStyle w:val="Compact"/>
              <w:jc w:val="left"/>
            </w:pPr>
            <w:r>
              <w:t xml:space="preserve">Rule-based guardrails</w:t>
            </w:r>
          </w:p>
        </w:tc>
        <w:tc>
          <w:tcPr/>
          <w:p>
            <w:pPr>
              <w:pStyle w:val="Compact"/>
              <w:jc w:val="right"/>
            </w:pPr>
            <w:r>
              <w:t xml:space="preserve">142.007</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CQL controller (reward-optimized)</w:t>
            </w:r>
          </w:p>
        </w:tc>
        <w:tc>
          <w:tcPr/>
          <w:p>
            <w:pPr>
              <w:pStyle w:val="Compact"/>
              <w:jc w:val="left"/>
            </w:pPr>
            <w:r>
              <w:t xml:space="preserve">Logistic regression + TF-IDF</w:t>
            </w:r>
          </w:p>
        </w:tc>
        <w:tc>
          <w:tcPr/>
          <w:p>
            <w:pPr>
              <w:pStyle w:val="Compact"/>
              <w:jc w:val="right"/>
            </w:pPr>
            <w:r>
              <w:t xml:space="preserve">2.083</w:t>
            </w:r>
          </w:p>
        </w:tc>
        <w:tc>
          <w:tcPr/>
          <w:p>
            <w:pPr>
              <w:pStyle w:val="Compact"/>
              <w:jc w:val="right"/>
            </w:pPr>
            <w:r>
              <w:t xml:space="preserve">0.1489</w:t>
            </w:r>
          </w:p>
        </w:tc>
        <w:tc>
          <w:tcPr/>
          <w:p>
            <w:pPr>
              <w:pStyle w:val="Compact"/>
              <w:jc w:val="left"/>
            </w:pPr>
            <w:r>
              <w:t xml:space="preserve">No</w:t>
            </w:r>
          </w:p>
        </w:tc>
      </w:tr>
      <w:tr>
        <w:tc>
          <w:tcPr/>
          <w:p>
            <w:pPr>
              <w:pStyle w:val="Compact"/>
              <w:jc w:val="left"/>
            </w:pPr>
            <w:r>
              <w:t xml:space="preserve">CQL controller (reward-optimized)</w:t>
            </w:r>
          </w:p>
        </w:tc>
        <w:tc>
          <w:tcPr/>
          <w:p>
            <w:pPr>
              <w:pStyle w:val="Compact"/>
              <w:jc w:val="left"/>
            </w:pPr>
            <w:r>
              <w:t xml:space="preserve">XGBoost + sentence-BERT</w:t>
            </w:r>
          </w:p>
        </w:tc>
        <w:tc>
          <w:tcPr/>
          <w:p>
            <w:pPr>
              <w:pStyle w:val="Compact"/>
              <w:jc w:val="right"/>
            </w:pPr>
            <w:r>
              <w:t xml:space="preserve">80.105</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CQL controller (reward-optimized)</w:t>
            </w:r>
          </w:p>
        </w:tc>
        <w:tc>
          <w:tcPr/>
          <w:p>
            <w:pPr>
              <w:pStyle w:val="Compact"/>
              <w:jc w:val="left"/>
            </w:pPr>
            <w:r>
              <w:t xml:space="preserve">Claude Opus 4.7 (RAG)</w:t>
            </w:r>
          </w:p>
        </w:tc>
        <w:tc>
          <w:tcPr/>
          <w:p>
            <w:pPr>
              <w:pStyle w:val="Compact"/>
              <w:jc w:val="right"/>
            </w:pPr>
            <w:r>
              <w:t xml:space="preserve">116.008</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CQL controller (reward-optimized)</w:t>
            </w:r>
          </w:p>
        </w:tc>
        <w:tc>
          <w:tcPr/>
          <w:p>
            <w:pPr>
              <w:pStyle w:val="Compact"/>
              <w:jc w:val="left"/>
            </w:pPr>
            <w:r>
              <w:t xml:space="preserve">Gemini 3.1 Pro (RAG)</w:t>
            </w:r>
          </w:p>
        </w:tc>
        <w:tc>
          <w:tcPr/>
          <w:p>
            <w:pPr>
              <w:pStyle w:val="Compact"/>
              <w:jc w:val="right"/>
            </w:pPr>
            <w:r>
              <w:t xml:space="preserve">148.007</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CQL controller (reward-optimized)</w:t>
            </w:r>
          </w:p>
        </w:tc>
        <w:tc>
          <w:tcPr/>
          <w:p>
            <w:pPr>
              <w:pStyle w:val="Compact"/>
              <w:jc w:val="left"/>
            </w:pPr>
            <w:r>
              <w:t xml:space="preserve">GPT-5.5 (safety-augmented)</w:t>
            </w:r>
          </w:p>
        </w:tc>
        <w:tc>
          <w:tcPr/>
          <w:p>
            <w:pPr>
              <w:pStyle w:val="Compact"/>
              <w:jc w:val="right"/>
            </w:pPr>
            <w:r>
              <w:t xml:space="preserve">97.087</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CQL controller (reward-optimized)</w:t>
            </w:r>
          </w:p>
        </w:tc>
        <w:tc>
          <w:tcPr/>
          <w:p>
            <w:pPr>
              <w:pStyle w:val="Compact"/>
              <w:jc w:val="left"/>
            </w:pPr>
            <w:r>
              <w:t xml:space="preserve">GPT-5.5 (RAG)</w:t>
            </w:r>
          </w:p>
        </w:tc>
        <w:tc>
          <w:tcPr/>
          <w:p>
            <w:pPr>
              <w:pStyle w:val="Compact"/>
              <w:jc w:val="right"/>
            </w:pPr>
            <w:r>
              <w:t xml:space="preserve">109.009</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CQL controller (sensitivity-optimized)</w:t>
            </w:r>
          </w:p>
        </w:tc>
        <w:tc>
          <w:tcPr/>
          <w:p>
            <w:pPr>
              <w:pStyle w:val="Compact"/>
              <w:jc w:val="left"/>
            </w:pPr>
            <w:r>
              <w:t xml:space="preserve">Gemini 3.1 Pro (safety-augmented)</w:t>
            </w:r>
          </w:p>
        </w:tc>
        <w:tc>
          <w:tcPr/>
          <w:p>
            <w:pPr>
              <w:pStyle w:val="Compact"/>
              <w:jc w:val="right"/>
            </w:pPr>
            <w:r>
              <w:t xml:space="preserve">0</w:t>
            </w:r>
          </w:p>
        </w:tc>
        <w:tc>
          <w:tcPr/>
          <w:p>
            <w:pPr>
              <w:pStyle w:val="Compact"/>
              <w:jc w:val="right"/>
            </w:pPr>
            <w:r>
              <w:t xml:space="preserve">1</w:t>
            </w:r>
          </w:p>
        </w:tc>
        <w:tc>
          <w:tcPr/>
          <w:p>
            <w:pPr>
              <w:pStyle w:val="Compact"/>
              <w:jc w:val="left"/>
            </w:pPr>
            <w:r>
              <w:t xml:space="preserve">No</w:t>
            </w:r>
          </w:p>
        </w:tc>
      </w:tr>
      <w:tr>
        <w:tc>
          <w:tcPr/>
          <w:p>
            <w:pPr>
              <w:pStyle w:val="Compact"/>
              <w:jc w:val="left"/>
            </w:pPr>
            <w:r>
              <w:t xml:space="preserve">CQL controller (sensitivity-optimized)</w:t>
            </w:r>
          </w:p>
        </w:tc>
        <w:tc>
          <w:tcPr/>
          <w:p>
            <w:pPr>
              <w:pStyle w:val="Compact"/>
              <w:jc w:val="left"/>
            </w:pPr>
            <w:r>
              <w:t xml:space="preserve">Rule-based guardrails</w:t>
            </w:r>
          </w:p>
        </w:tc>
        <w:tc>
          <w:tcPr/>
          <w:p>
            <w:pPr>
              <w:pStyle w:val="Compact"/>
              <w:jc w:val="right"/>
            </w:pPr>
            <w:r>
              <w:t xml:space="preserve">2.083</w:t>
            </w:r>
          </w:p>
        </w:tc>
        <w:tc>
          <w:tcPr/>
          <w:p>
            <w:pPr>
              <w:pStyle w:val="Compact"/>
              <w:jc w:val="right"/>
            </w:pPr>
            <w:r>
              <w:t xml:space="preserve">0.1489</w:t>
            </w:r>
          </w:p>
        </w:tc>
        <w:tc>
          <w:tcPr/>
          <w:p>
            <w:pPr>
              <w:pStyle w:val="Compact"/>
              <w:jc w:val="left"/>
            </w:pPr>
            <w:r>
              <w:t xml:space="preserve">No</w:t>
            </w:r>
          </w:p>
        </w:tc>
      </w:tr>
      <w:tr>
        <w:tc>
          <w:tcPr/>
          <w:p>
            <w:pPr>
              <w:pStyle w:val="Compact"/>
              <w:jc w:val="left"/>
            </w:pPr>
            <w:r>
              <w:t xml:space="preserve">CQL controller (sensitivity-optimized)</w:t>
            </w:r>
          </w:p>
        </w:tc>
        <w:tc>
          <w:tcPr/>
          <w:p>
            <w:pPr>
              <w:pStyle w:val="Compact"/>
              <w:jc w:val="left"/>
            </w:pPr>
            <w:r>
              <w:t xml:space="preserve">Logistic regression + TF-IDF</w:t>
            </w:r>
          </w:p>
        </w:tc>
        <w:tc>
          <w:tcPr/>
          <w:p>
            <w:pPr>
              <w:pStyle w:val="Compact"/>
              <w:jc w:val="right"/>
            </w:pPr>
            <w:r>
              <w:t xml:space="preserve">154.006</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CQL controller (sensitivity-optimized)</w:t>
            </w:r>
          </w:p>
        </w:tc>
        <w:tc>
          <w:tcPr/>
          <w:p>
            <w:pPr>
              <w:pStyle w:val="Compact"/>
              <w:jc w:val="left"/>
            </w:pPr>
            <w:r>
              <w:t xml:space="preserve">XGBoost + sentence-BERT</w:t>
            </w:r>
          </w:p>
        </w:tc>
        <w:tc>
          <w:tcPr/>
          <w:p>
            <w:pPr>
              <w:pStyle w:val="Compact"/>
              <w:jc w:val="right"/>
            </w:pPr>
            <w:r>
              <w:t xml:space="preserve">64.015</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CQL controller (sensitivity-optimized)</w:t>
            </w:r>
          </w:p>
        </w:tc>
        <w:tc>
          <w:tcPr/>
          <w:p>
            <w:pPr>
              <w:pStyle w:val="Compact"/>
              <w:jc w:val="left"/>
            </w:pPr>
            <w:r>
              <w:t xml:space="preserve">Claude Opus 4.7 (RAG)</w:t>
            </w:r>
          </w:p>
        </w:tc>
        <w:tc>
          <w:tcPr/>
          <w:p>
            <w:pPr>
              <w:pStyle w:val="Compact"/>
              <w:jc w:val="right"/>
            </w:pPr>
            <w:r>
              <w:t xml:space="preserve">25.289</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CQL controller (sensitivity-optimized)</w:t>
            </w:r>
          </w:p>
        </w:tc>
        <w:tc>
          <w:tcPr/>
          <w:p>
            <w:pPr>
              <w:pStyle w:val="Compact"/>
              <w:jc w:val="left"/>
            </w:pPr>
            <w:r>
              <w:t xml:space="preserve">Gemini 3.1 Pro (RAG)</w:t>
            </w:r>
          </w:p>
        </w:tc>
        <w:tc>
          <w:tcPr/>
          <w:p>
            <w:pPr>
              <w:pStyle w:val="Compact"/>
              <w:jc w:val="right"/>
            </w:pPr>
            <w:r>
              <w:t xml:space="preserve">0.125</w:t>
            </w:r>
          </w:p>
        </w:tc>
        <w:tc>
          <w:tcPr/>
          <w:p>
            <w:pPr>
              <w:pStyle w:val="Compact"/>
              <w:jc w:val="right"/>
            </w:pPr>
            <w:r>
              <w:t xml:space="preserve">0.7237</w:t>
            </w:r>
          </w:p>
        </w:tc>
        <w:tc>
          <w:tcPr/>
          <w:p>
            <w:pPr>
              <w:pStyle w:val="Compact"/>
              <w:jc w:val="left"/>
            </w:pPr>
            <w:r>
              <w:t xml:space="preserve">No</w:t>
            </w:r>
          </w:p>
        </w:tc>
      </w:tr>
      <w:tr>
        <w:tc>
          <w:tcPr/>
          <w:p>
            <w:pPr>
              <w:pStyle w:val="Compact"/>
              <w:jc w:val="left"/>
            </w:pPr>
            <w:r>
              <w:t xml:space="preserve">CQL controller (sensitivity-optimized)</w:t>
            </w:r>
          </w:p>
        </w:tc>
        <w:tc>
          <w:tcPr/>
          <w:p>
            <w:pPr>
              <w:pStyle w:val="Compact"/>
              <w:jc w:val="left"/>
            </w:pPr>
            <w:r>
              <w:t xml:space="preserve">GPT-5.5 (safety-augmented)</w:t>
            </w:r>
          </w:p>
        </w:tc>
        <w:tc>
          <w:tcPr/>
          <w:p>
            <w:pPr>
              <w:pStyle w:val="Compact"/>
              <w:jc w:val="right"/>
            </w:pPr>
            <w:r>
              <w:t xml:space="preserve">45.176</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CQL controller (sensitivity-optimized)</w:t>
            </w:r>
          </w:p>
        </w:tc>
        <w:tc>
          <w:tcPr/>
          <w:p>
            <w:pPr>
              <w:pStyle w:val="Compact"/>
              <w:jc w:val="left"/>
            </w:pPr>
            <w:r>
              <w:t xml:space="preserve">GPT-5.5 (RAG)</w:t>
            </w:r>
          </w:p>
        </w:tc>
        <w:tc>
          <w:tcPr/>
          <w:p>
            <w:pPr>
              <w:pStyle w:val="Compact"/>
              <w:jc w:val="right"/>
            </w:pPr>
            <w:r>
              <w:t xml:space="preserve">33.581</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Gemini 3.1 Pro (safety-augmented)</w:t>
            </w:r>
          </w:p>
        </w:tc>
        <w:tc>
          <w:tcPr/>
          <w:p>
            <w:pPr>
              <w:pStyle w:val="Compact"/>
              <w:jc w:val="left"/>
            </w:pPr>
            <w:r>
              <w:t xml:space="preserve">Rule-based guardrails</w:t>
            </w:r>
          </w:p>
        </w:tc>
        <w:tc>
          <w:tcPr/>
          <w:p>
            <w:pPr>
              <w:pStyle w:val="Compact"/>
              <w:jc w:val="right"/>
            </w:pPr>
            <w:r>
              <w:t xml:space="preserve">2.769</w:t>
            </w:r>
          </w:p>
        </w:tc>
        <w:tc>
          <w:tcPr/>
          <w:p>
            <w:pPr>
              <w:pStyle w:val="Compact"/>
              <w:jc w:val="right"/>
            </w:pPr>
            <w:r>
              <w:t xml:space="preserve">0.0961</w:t>
            </w:r>
          </w:p>
        </w:tc>
        <w:tc>
          <w:tcPr/>
          <w:p>
            <w:pPr>
              <w:pStyle w:val="Compact"/>
              <w:jc w:val="left"/>
            </w:pPr>
            <w:r>
              <w:t xml:space="preserve">No</w:t>
            </w:r>
          </w:p>
        </w:tc>
      </w:tr>
      <w:tr>
        <w:tc>
          <w:tcPr/>
          <w:p>
            <w:pPr>
              <w:pStyle w:val="Compact"/>
              <w:jc w:val="left"/>
            </w:pPr>
            <w:r>
              <w:t xml:space="preserve">Gemini 3.1 Pro (safety-augmented)</w:t>
            </w:r>
          </w:p>
        </w:tc>
        <w:tc>
          <w:tcPr/>
          <w:p>
            <w:pPr>
              <w:pStyle w:val="Compact"/>
              <w:jc w:val="left"/>
            </w:pPr>
            <w:r>
              <w:t xml:space="preserve">Logistic regression + TF-IDF</w:t>
            </w:r>
          </w:p>
        </w:tc>
        <w:tc>
          <w:tcPr/>
          <w:p>
            <w:pPr>
              <w:pStyle w:val="Compact"/>
              <w:jc w:val="right"/>
            </w:pPr>
            <w:r>
              <w:t xml:space="preserve">155.006</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Gemini 3.1 Pro (safety-augmented)</w:t>
            </w:r>
          </w:p>
        </w:tc>
        <w:tc>
          <w:tcPr/>
          <w:p>
            <w:pPr>
              <w:pStyle w:val="Compact"/>
              <w:jc w:val="left"/>
            </w:pPr>
            <w:r>
              <w:t xml:space="preserve">XGBoost + sentence-BERT</w:t>
            </w:r>
          </w:p>
        </w:tc>
        <w:tc>
          <w:tcPr/>
          <w:p>
            <w:pPr>
              <w:pStyle w:val="Compact"/>
              <w:jc w:val="right"/>
            </w:pPr>
            <w:r>
              <w:t xml:space="preserve">65.015</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Gemini 3.1 Pro (safety-augmented)</w:t>
            </w:r>
          </w:p>
        </w:tc>
        <w:tc>
          <w:tcPr/>
          <w:p>
            <w:pPr>
              <w:pStyle w:val="Compact"/>
              <w:jc w:val="left"/>
            </w:pPr>
            <w:r>
              <w:t xml:space="preserve">Claude Opus 4.7 (RAG)</w:t>
            </w:r>
          </w:p>
        </w:tc>
        <w:tc>
          <w:tcPr/>
          <w:p>
            <w:pPr>
              <w:pStyle w:val="Compact"/>
              <w:jc w:val="right"/>
            </w:pPr>
            <w:r>
              <w:t xml:space="preserve">31.03</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Gemini 3.1 Pro (safety-augmented)</w:t>
            </w:r>
          </w:p>
        </w:tc>
        <w:tc>
          <w:tcPr/>
          <w:p>
            <w:pPr>
              <w:pStyle w:val="Compact"/>
              <w:jc w:val="left"/>
            </w:pPr>
            <w:r>
              <w:t xml:space="preserve">Gemini 3.1 Pro (RAG)</w:t>
            </w:r>
          </w:p>
        </w:tc>
        <w:tc>
          <w:tcPr/>
          <w:p>
            <w:pPr>
              <w:pStyle w:val="Compact"/>
              <w:jc w:val="right"/>
            </w:pPr>
            <w:r>
              <w:t xml:space="preserve">0</w:t>
            </w:r>
          </w:p>
        </w:tc>
        <w:tc>
          <w:tcPr/>
          <w:p>
            <w:pPr>
              <w:pStyle w:val="Compact"/>
              <w:jc w:val="right"/>
            </w:pPr>
            <w:r>
              <w:t xml:space="preserve">1</w:t>
            </w:r>
          </w:p>
        </w:tc>
        <w:tc>
          <w:tcPr/>
          <w:p>
            <w:pPr>
              <w:pStyle w:val="Compact"/>
              <w:jc w:val="left"/>
            </w:pPr>
            <w:r>
              <w:t xml:space="preserve">No</w:t>
            </w:r>
          </w:p>
        </w:tc>
      </w:tr>
      <w:tr>
        <w:tc>
          <w:tcPr/>
          <w:p>
            <w:pPr>
              <w:pStyle w:val="Compact"/>
              <w:jc w:val="left"/>
            </w:pPr>
            <w:r>
              <w:t xml:space="preserve">Gemini 3.1 Pro (safety-augmented)</w:t>
            </w:r>
          </w:p>
        </w:tc>
        <w:tc>
          <w:tcPr/>
          <w:p>
            <w:pPr>
              <w:pStyle w:val="Compact"/>
              <w:jc w:val="left"/>
            </w:pPr>
            <w:r>
              <w:t xml:space="preserve">GPT-5.5 (safety-augmented)</w:t>
            </w:r>
          </w:p>
        </w:tc>
        <w:tc>
          <w:tcPr/>
          <w:p>
            <w:pPr>
              <w:pStyle w:val="Compact"/>
              <w:jc w:val="right"/>
            </w:pPr>
            <w:r>
              <w:t xml:space="preserve">48.02</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Gemini 3.1 Pro (safety-augmented)</w:t>
            </w:r>
          </w:p>
        </w:tc>
        <w:tc>
          <w:tcPr/>
          <w:p>
            <w:pPr>
              <w:pStyle w:val="Compact"/>
              <w:jc w:val="left"/>
            </w:pPr>
            <w:r>
              <w:t xml:space="preserve">GPT-5.5 (RAG)</w:t>
            </w:r>
          </w:p>
        </w:tc>
        <w:tc>
          <w:tcPr/>
          <w:p>
            <w:pPr>
              <w:pStyle w:val="Compact"/>
              <w:jc w:val="right"/>
            </w:pPr>
            <w:r>
              <w:t xml:space="preserve">38.025</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Rule-based guardrails</w:t>
            </w:r>
          </w:p>
        </w:tc>
        <w:tc>
          <w:tcPr/>
          <w:p>
            <w:pPr>
              <w:pStyle w:val="Compact"/>
              <w:jc w:val="left"/>
            </w:pPr>
            <w:r>
              <w:t xml:space="preserve">Logistic regression + TF-IDF</w:t>
            </w:r>
          </w:p>
        </w:tc>
        <w:tc>
          <w:tcPr/>
          <w:p>
            <w:pPr>
              <w:pStyle w:val="Compact"/>
              <w:jc w:val="right"/>
            </w:pPr>
            <w:r>
              <w:t xml:space="preserve">148.007</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Rule-based guardrails</w:t>
            </w:r>
          </w:p>
        </w:tc>
        <w:tc>
          <w:tcPr/>
          <w:p>
            <w:pPr>
              <w:pStyle w:val="Compact"/>
              <w:jc w:val="left"/>
            </w:pPr>
            <w:r>
              <w:t xml:space="preserve">XGBoost + sentence-BERT</w:t>
            </w:r>
          </w:p>
        </w:tc>
        <w:tc>
          <w:tcPr/>
          <w:p>
            <w:pPr>
              <w:pStyle w:val="Compact"/>
              <w:jc w:val="right"/>
            </w:pPr>
            <w:r>
              <w:t xml:space="preserve">52.742</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Rule-based guardrails</w:t>
            </w:r>
          </w:p>
        </w:tc>
        <w:tc>
          <w:tcPr/>
          <w:p>
            <w:pPr>
              <w:pStyle w:val="Compact"/>
              <w:jc w:val="left"/>
            </w:pPr>
            <w:r>
              <w:t xml:space="preserve">Claude Opus 4.7 (RAG)</w:t>
            </w:r>
          </w:p>
        </w:tc>
        <w:tc>
          <w:tcPr/>
          <w:p>
            <w:pPr>
              <w:pStyle w:val="Compact"/>
              <w:jc w:val="right"/>
            </w:pPr>
            <w:r>
              <w:t xml:space="preserve">16.447</w:t>
            </w:r>
          </w:p>
        </w:tc>
        <w:tc>
          <w:tcPr/>
          <w:p>
            <w:pPr>
              <w:pStyle w:val="Compact"/>
              <w:jc w:val="right"/>
            </w:pPr>
            <w:r>
              <w:t xml:space="preserve">0.0001</w:t>
            </w:r>
          </w:p>
        </w:tc>
        <w:tc>
          <w:tcPr/>
          <w:p>
            <w:pPr>
              <w:pStyle w:val="Compact"/>
              <w:jc w:val="left"/>
            </w:pPr>
            <w:r>
              <w:t xml:space="preserve">Yes</w:t>
            </w:r>
          </w:p>
        </w:tc>
      </w:tr>
      <w:tr>
        <w:tc>
          <w:tcPr/>
          <w:p>
            <w:pPr>
              <w:pStyle w:val="Compact"/>
              <w:jc w:val="left"/>
            </w:pPr>
            <w:r>
              <w:t xml:space="preserve">Rule-based guardrails</w:t>
            </w:r>
          </w:p>
        </w:tc>
        <w:tc>
          <w:tcPr/>
          <w:p>
            <w:pPr>
              <w:pStyle w:val="Compact"/>
              <w:jc w:val="left"/>
            </w:pPr>
            <w:r>
              <w:t xml:space="preserve">Gemini 3.1 Pro (RAG)</w:t>
            </w:r>
          </w:p>
        </w:tc>
        <w:tc>
          <w:tcPr/>
          <w:p>
            <w:pPr>
              <w:pStyle w:val="Compact"/>
              <w:jc w:val="right"/>
            </w:pPr>
            <w:r>
              <w:t xml:space="preserve">1.786</w:t>
            </w:r>
          </w:p>
        </w:tc>
        <w:tc>
          <w:tcPr/>
          <w:p>
            <w:pPr>
              <w:pStyle w:val="Compact"/>
              <w:jc w:val="right"/>
            </w:pPr>
            <w:r>
              <w:t xml:space="preserve">0.1814</w:t>
            </w:r>
          </w:p>
        </w:tc>
        <w:tc>
          <w:tcPr/>
          <w:p>
            <w:pPr>
              <w:pStyle w:val="Compact"/>
              <w:jc w:val="left"/>
            </w:pPr>
            <w:r>
              <w:t xml:space="preserve">No</w:t>
            </w:r>
          </w:p>
        </w:tc>
      </w:tr>
      <w:tr>
        <w:tc>
          <w:tcPr/>
          <w:p>
            <w:pPr>
              <w:pStyle w:val="Compact"/>
              <w:jc w:val="left"/>
            </w:pPr>
            <w:r>
              <w:t xml:space="preserve">Rule-based guardrails</w:t>
            </w:r>
          </w:p>
        </w:tc>
        <w:tc>
          <w:tcPr/>
          <w:p>
            <w:pPr>
              <w:pStyle w:val="Compact"/>
              <w:jc w:val="left"/>
            </w:pPr>
            <w:r>
              <w:t xml:space="preserve">GPT-5.5 (safety-augmented)</w:t>
            </w:r>
          </w:p>
        </w:tc>
        <w:tc>
          <w:tcPr/>
          <w:p>
            <w:pPr>
              <w:pStyle w:val="Compact"/>
              <w:jc w:val="right"/>
            </w:pPr>
            <w:r>
              <w:t xml:space="preserve">33.283</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Rule-based guardrails</w:t>
            </w:r>
          </w:p>
        </w:tc>
        <w:tc>
          <w:tcPr/>
          <w:p>
            <w:pPr>
              <w:pStyle w:val="Compact"/>
              <w:jc w:val="left"/>
            </w:pPr>
            <w:r>
              <w:t xml:space="preserve">GPT-5.5 (RAG)</w:t>
            </w:r>
          </w:p>
        </w:tc>
        <w:tc>
          <w:tcPr/>
          <w:p>
            <w:pPr>
              <w:pStyle w:val="Compact"/>
              <w:jc w:val="right"/>
            </w:pPr>
            <w:r>
              <w:t xml:space="preserve">24.976</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Logistic regression + TF-IDF</w:t>
            </w:r>
          </w:p>
        </w:tc>
        <w:tc>
          <w:tcPr/>
          <w:p>
            <w:pPr>
              <w:pStyle w:val="Compact"/>
              <w:jc w:val="left"/>
            </w:pPr>
            <w:r>
              <w:t xml:space="preserve">XGBoost + sentence-BERT</w:t>
            </w:r>
          </w:p>
        </w:tc>
        <w:tc>
          <w:tcPr/>
          <w:p>
            <w:pPr>
              <w:pStyle w:val="Compact"/>
              <w:jc w:val="right"/>
            </w:pPr>
            <w:r>
              <w:t xml:space="preserve">86.098</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Logistic regression + TF-IDF</w:t>
            </w:r>
          </w:p>
        </w:tc>
        <w:tc>
          <w:tcPr/>
          <w:p>
            <w:pPr>
              <w:pStyle w:val="Compact"/>
              <w:jc w:val="left"/>
            </w:pPr>
            <w:r>
              <w:t xml:space="preserve">Claude Opus 4.7 (RAG)</w:t>
            </w:r>
          </w:p>
        </w:tc>
        <w:tc>
          <w:tcPr/>
          <w:p>
            <w:pPr>
              <w:pStyle w:val="Compact"/>
              <w:jc w:val="right"/>
            </w:pPr>
            <w:r>
              <w:t xml:space="preserve">122.008</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Logistic regression + TF-IDF</w:t>
            </w:r>
          </w:p>
        </w:tc>
        <w:tc>
          <w:tcPr/>
          <w:p>
            <w:pPr>
              <w:pStyle w:val="Compact"/>
              <w:jc w:val="left"/>
            </w:pPr>
            <w:r>
              <w:t xml:space="preserve">Gemini 3.1 Pro (RAG)</w:t>
            </w:r>
          </w:p>
        </w:tc>
        <w:tc>
          <w:tcPr/>
          <w:p>
            <w:pPr>
              <w:pStyle w:val="Compact"/>
              <w:jc w:val="right"/>
            </w:pPr>
            <w:r>
              <w:t xml:space="preserve">154.006</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Logistic regression + TF-IDF</w:t>
            </w:r>
          </w:p>
        </w:tc>
        <w:tc>
          <w:tcPr/>
          <w:p>
            <w:pPr>
              <w:pStyle w:val="Compact"/>
              <w:jc w:val="left"/>
            </w:pPr>
            <w:r>
              <w:t xml:space="preserve">GPT-5.5 (safety-augmented)</w:t>
            </w:r>
          </w:p>
        </w:tc>
        <w:tc>
          <w:tcPr/>
          <w:p>
            <w:pPr>
              <w:pStyle w:val="Compact"/>
              <w:jc w:val="right"/>
            </w:pPr>
            <w:r>
              <w:t xml:space="preserve">103.083</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Logistic regression + TF-IDF</w:t>
            </w:r>
          </w:p>
        </w:tc>
        <w:tc>
          <w:tcPr/>
          <w:p>
            <w:pPr>
              <w:pStyle w:val="Compact"/>
              <w:jc w:val="left"/>
            </w:pPr>
            <w:r>
              <w:t xml:space="preserve">GPT-5.5 (RAG)</w:t>
            </w:r>
          </w:p>
        </w:tc>
        <w:tc>
          <w:tcPr/>
          <w:p>
            <w:pPr>
              <w:pStyle w:val="Compact"/>
              <w:jc w:val="right"/>
            </w:pPr>
            <w:r>
              <w:t xml:space="preserve">115.009</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XGBoost + sentence-BERT</w:t>
            </w:r>
          </w:p>
        </w:tc>
        <w:tc>
          <w:tcPr/>
          <w:p>
            <w:pPr>
              <w:pStyle w:val="Compact"/>
              <w:jc w:val="left"/>
            </w:pPr>
            <w:r>
              <w:t xml:space="preserve">Claude Opus 4.7 (RAG)</w:t>
            </w:r>
          </w:p>
        </w:tc>
        <w:tc>
          <w:tcPr/>
          <w:p>
            <w:pPr>
              <w:pStyle w:val="Compact"/>
              <w:jc w:val="right"/>
            </w:pPr>
            <w:r>
              <w:t xml:space="preserve">16.015</w:t>
            </w:r>
          </w:p>
        </w:tc>
        <w:tc>
          <w:tcPr/>
          <w:p>
            <w:pPr>
              <w:pStyle w:val="Compact"/>
              <w:jc w:val="right"/>
            </w:pPr>
            <w:r>
              <w:t xml:space="preserve">0.0001</w:t>
            </w:r>
          </w:p>
        </w:tc>
        <w:tc>
          <w:tcPr/>
          <w:p>
            <w:pPr>
              <w:pStyle w:val="Compact"/>
              <w:jc w:val="left"/>
            </w:pPr>
            <w:r>
              <w:t xml:space="preserve">Yes</w:t>
            </w:r>
          </w:p>
        </w:tc>
      </w:tr>
      <w:tr>
        <w:tc>
          <w:tcPr/>
          <w:p>
            <w:pPr>
              <w:pStyle w:val="Compact"/>
              <w:jc w:val="left"/>
            </w:pPr>
            <w:r>
              <w:t xml:space="preserve">XGBoost + sentence-BERT</w:t>
            </w:r>
          </w:p>
        </w:tc>
        <w:tc>
          <w:tcPr/>
          <w:p>
            <w:pPr>
              <w:pStyle w:val="Compact"/>
              <w:jc w:val="left"/>
            </w:pPr>
            <w:r>
              <w:t xml:space="preserve">Gemini 3.1 Pro (RAG)</w:t>
            </w:r>
          </w:p>
        </w:tc>
        <w:tc>
          <w:tcPr/>
          <w:p>
            <w:pPr>
              <w:pStyle w:val="Compact"/>
              <w:jc w:val="right"/>
            </w:pPr>
            <w:r>
              <w:t xml:space="preserve">58.681</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XGBoost + sentence-BERT</w:t>
            </w:r>
          </w:p>
        </w:tc>
        <w:tc>
          <w:tcPr/>
          <w:p>
            <w:pPr>
              <w:pStyle w:val="Compact"/>
              <w:jc w:val="left"/>
            </w:pPr>
            <w:r>
              <w:t xml:space="preserve">GPT-5.5 (safety-augmented)</w:t>
            </w:r>
          </w:p>
        </w:tc>
        <w:tc>
          <w:tcPr/>
          <w:p>
            <w:pPr>
              <w:pStyle w:val="Compact"/>
              <w:jc w:val="right"/>
            </w:pPr>
            <w:r>
              <w:t xml:space="preserve">4.339</w:t>
            </w:r>
          </w:p>
        </w:tc>
        <w:tc>
          <w:tcPr/>
          <w:p>
            <w:pPr>
              <w:pStyle w:val="Compact"/>
              <w:jc w:val="right"/>
            </w:pPr>
            <w:r>
              <w:t xml:space="preserve">0.0372</w:t>
            </w:r>
          </w:p>
        </w:tc>
        <w:tc>
          <w:tcPr/>
          <w:p>
            <w:pPr>
              <w:pStyle w:val="Compact"/>
              <w:jc w:val="left"/>
            </w:pPr>
            <w:r>
              <w:t xml:space="preserve">No</w:t>
            </w:r>
          </w:p>
        </w:tc>
      </w:tr>
      <w:tr>
        <w:tc>
          <w:tcPr/>
          <w:p>
            <w:pPr>
              <w:pStyle w:val="Compact"/>
              <w:jc w:val="left"/>
            </w:pPr>
            <w:r>
              <w:t xml:space="preserve">XGBoost + sentence-BERT</w:t>
            </w:r>
          </w:p>
        </w:tc>
        <w:tc>
          <w:tcPr/>
          <w:p>
            <w:pPr>
              <w:pStyle w:val="Compact"/>
              <w:jc w:val="left"/>
            </w:pPr>
            <w:r>
              <w:t xml:space="preserve">GPT-5.5 (RAG)</w:t>
            </w:r>
          </w:p>
        </w:tc>
        <w:tc>
          <w:tcPr/>
          <w:p>
            <w:pPr>
              <w:pStyle w:val="Compact"/>
              <w:jc w:val="right"/>
            </w:pPr>
            <w:r>
              <w:t xml:space="preserve">10.73</w:t>
            </w:r>
          </w:p>
        </w:tc>
        <w:tc>
          <w:tcPr/>
          <w:p>
            <w:pPr>
              <w:pStyle w:val="Compact"/>
              <w:jc w:val="right"/>
            </w:pPr>
            <w:r>
              <w:t xml:space="preserve">0.0011</w:t>
            </w:r>
          </w:p>
        </w:tc>
        <w:tc>
          <w:tcPr/>
          <w:p>
            <w:pPr>
              <w:pStyle w:val="Compact"/>
              <w:jc w:val="left"/>
            </w:pPr>
            <w:r>
              <w:t xml:space="preserve">Yes</w:t>
            </w:r>
          </w:p>
        </w:tc>
      </w:tr>
      <w:tr>
        <w:tc>
          <w:tcPr/>
          <w:p>
            <w:pPr>
              <w:pStyle w:val="Compact"/>
              <w:jc w:val="left"/>
            </w:pPr>
            <w:r>
              <w:t xml:space="preserve">Claude Opus 4.7 (RAG)</w:t>
            </w:r>
          </w:p>
        </w:tc>
        <w:tc>
          <w:tcPr/>
          <w:p>
            <w:pPr>
              <w:pStyle w:val="Compact"/>
              <w:jc w:val="left"/>
            </w:pPr>
            <w:r>
              <w:t xml:space="preserve">Gemini 3.1 Pro (RAG)</w:t>
            </w:r>
          </w:p>
        </w:tc>
        <w:tc>
          <w:tcPr/>
          <w:p>
            <w:pPr>
              <w:pStyle w:val="Compact"/>
              <w:jc w:val="right"/>
            </w:pPr>
            <w:r>
              <w:t xml:space="preserve">30.031</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Claude Opus 4.7 (RAG)</w:t>
            </w:r>
          </w:p>
        </w:tc>
        <w:tc>
          <w:tcPr/>
          <w:p>
            <w:pPr>
              <w:pStyle w:val="Compact"/>
              <w:jc w:val="left"/>
            </w:pPr>
            <w:r>
              <w:t xml:space="preserve">GPT-5.5 (safety-augmented)</w:t>
            </w:r>
          </w:p>
        </w:tc>
        <w:tc>
          <w:tcPr/>
          <w:p>
            <w:pPr>
              <w:pStyle w:val="Compact"/>
              <w:jc w:val="right"/>
            </w:pPr>
            <w:r>
              <w:t xml:space="preserve">8.258</w:t>
            </w:r>
          </w:p>
        </w:tc>
        <w:tc>
          <w:tcPr/>
          <w:p>
            <w:pPr>
              <w:pStyle w:val="Compact"/>
              <w:jc w:val="right"/>
            </w:pPr>
            <w:r>
              <w:t xml:space="preserve">0.0041</w:t>
            </w:r>
          </w:p>
        </w:tc>
        <w:tc>
          <w:tcPr/>
          <w:p>
            <w:pPr>
              <w:pStyle w:val="Compact"/>
              <w:jc w:val="left"/>
            </w:pPr>
            <w:r>
              <w:t xml:space="preserve">No</w:t>
            </w:r>
          </w:p>
        </w:tc>
      </w:tr>
      <w:tr>
        <w:tc>
          <w:tcPr/>
          <w:p>
            <w:pPr>
              <w:pStyle w:val="Compact"/>
              <w:jc w:val="left"/>
            </w:pPr>
            <w:r>
              <w:t xml:space="preserve">Claude Opus 4.7 (RAG)</w:t>
            </w:r>
          </w:p>
        </w:tc>
        <w:tc>
          <w:tcPr/>
          <w:p>
            <w:pPr>
              <w:pStyle w:val="Compact"/>
              <w:jc w:val="left"/>
            </w:pPr>
            <w:r>
              <w:t xml:space="preserve">GPT-5.5 (RAG)</w:t>
            </w:r>
          </w:p>
        </w:tc>
        <w:tc>
          <w:tcPr/>
          <w:p>
            <w:pPr>
              <w:pStyle w:val="Compact"/>
              <w:jc w:val="right"/>
            </w:pPr>
            <w:r>
              <w:t xml:space="preserve">2.118</w:t>
            </w:r>
          </w:p>
        </w:tc>
        <w:tc>
          <w:tcPr/>
          <w:p>
            <w:pPr>
              <w:pStyle w:val="Compact"/>
              <w:jc w:val="right"/>
            </w:pPr>
            <w:r>
              <w:t xml:space="preserve">0.1456</w:t>
            </w:r>
          </w:p>
        </w:tc>
        <w:tc>
          <w:tcPr/>
          <w:p>
            <w:pPr>
              <w:pStyle w:val="Compact"/>
              <w:jc w:val="left"/>
            </w:pPr>
            <w:r>
              <w:t xml:space="preserve">No</w:t>
            </w:r>
          </w:p>
        </w:tc>
      </w:tr>
      <w:tr>
        <w:tc>
          <w:tcPr/>
          <w:p>
            <w:pPr>
              <w:pStyle w:val="Compact"/>
              <w:jc w:val="left"/>
            </w:pPr>
            <w:r>
              <w:t xml:space="preserve">Gemini 3.1 Pro (RAG)</w:t>
            </w:r>
          </w:p>
        </w:tc>
        <w:tc>
          <w:tcPr/>
          <w:p>
            <w:pPr>
              <w:pStyle w:val="Compact"/>
              <w:jc w:val="left"/>
            </w:pPr>
            <w:r>
              <w:t xml:space="preserve">GPT-5.5 (safety-augmented)</w:t>
            </w:r>
          </w:p>
        </w:tc>
        <w:tc>
          <w:tcPr/>
          <w:p>
            <w:pPr>
              <w:pStyle w:val="Compact"/>
              <w:jc w:val="right"/>
            </w:pPr>
            <w:r>
              <w:t xml:space="preserve">47.02</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Gemini 3.1 Pro (RAG)</w:t>
            </w:r>
          </w:p>
        </w:tc>
        <w:tc>
          <w:tcPr/>
          <w:p>
            <w:pPr>
              <w:pStyle w:val="Compact"/>
              <w:jc w:val="left"/>
            </w:pPr>
            <w:r>
              <w:t xml:space="preserve">GPT-5.5 (RAG)</w:t>
            </w:r>
          </w:p>
        </w:tc>
        <w:tc>
          <w:tcPr/>
          <w:p>
            <w:pPr>
              <w:pStyle w:val="Compact"/>
              <w:jc w:val="right"/>
            </w:pPr>
            <w:r>
              <w:t xml:space="preserve">37.026</w:t>
            </w:r>
          </w:p>
        </w:tc>
        <w:tc>
          <w:tcPr/>
          <w:p>
            <w:pPr>
              <w:pStyle w:val="Compact"/>
              <w:jc w:val="right"/>
            </w:pPr>
            <w:r>
              <w:t xml:space="preserve">0</w:t>
            </w:r>
          </w:p>
        </w:tc>
        <w:tc>
          <w:tcPr/>
          <w:p>
            <w:pPr>
              <w:pStyle w:val="Compact"/>
              <w:jc w:val="left"/>
            </w:pPr>
            <w:r>
              <w:t xml:space="preserve">Yes</w:t>
            </w:r>
          </w:p>
        </w:tc>
      </w:tr>
      <w:tr>
        <w:tc>
          <w:tcPr/>
          <w:p>
            <w:pPr>
              <w:pStyle w:val="Compact"/>
              <w:jc w:val="left"/>
            </w:pPr>
            <w:r>
              <w:t xml:space="preserve">GPT-5.5 (safety-augmented)</w:t>
            </w:r>
          </w:p>
        </w:tc>
        <w:tc>
          <w:tcPr/>
          <w:p>
            <w:pPr>
              <w:pStyle w:val="Compact"/>
              <w:jc w:val="left"/>
            </w:pPr>
            <w:r>
              <w:t xml:space="preserve">GPT-5.5 (RAG)</w:t>
            </w:r>
          </w:p>
        </w:tc>
        <w:tc>
          <w:tcPr/>
          <w:p>
            <w:pPr>
              <w:pStyle w:val="Compact"/>
              <w:jc w:val="right"/>
            </w:pPr>
            <w:r>
              <w:t xml:space="preserve">3.682</w:t>
            </w:r>
          </w:p>
        </w:tc>
        <w:tc>
          <w:tcPr/>
          <w:p>
            <w:pPr>
              <w:pStyle w:val="Compact"/>
              <w:jc w:val="right"/>
            </w:pPr>
            <w:r>
              <w:t xml:space="preserve">0.055</w:t>
            </w:r>
          </w:p>
        </w:tc>
        <w:tc>
          <w:tcPr/>
          <w:p>
            <w:pPr>
              <w:pStyle w:val="Compact"/>
              <w:jc w:val="left"/>
            </w:pPr>
            <w:r>
              <w:t xml:space="preserve">No</w:t>
            </w:r>
          </w:p>
        </w:tc>
      </w:tr>
    </w:tbl>
    <w:p>
      <w:pPr>
        <w:pStyle w:val="BodyText"/>
      </w:pPr>
      <w:r>
        <w:t xml:space="preserve">Caption: Full pairwise McNemar discordant-pair matrix among all evaluated architectures on the real-world test set, with chi-square statistics, raw two-sided p-values, and Hochberg step-up significance at α = 0.05.</w:t>
      </w:r>
    </w:p>
    <w:bookmarkEnd w:id="23"/>
    <w:bookmarkStart w:id="24" w:name="Xca6d8684f5f64a44bb55927e0a2e6354b627fdf"/>
    <w:p>
      <w:pPr>
        <w:pStyle w:val="Heading3"/>
      </w:pPr>
      <w:r>
        <w:t xml:space="preserve">Table S6. Calibrated operating-point thresholds per architecture.</w:t>
      </w:r>
    </w:p>
    <w:tbl>
      <w:tblPr>
        <w:tblStyle w:val="Table"/>
        <w:tblW w:type="pct" w:w="5000"/>
        <w:tblLayout w:type="fixed"/>
        <w:tblLook w:firstRow="1" w:lastRow="0" w:firstColumn="0" w:lastColumn="0" w:noHBand="0" w:noVBand="0" w:val="0020"/>
      </w:tblPr>
      <w:tblGrid>
        <w:gridCol w:w="4339"/>
        <w:gridCol w:w="3580"/>
      </w:tblGrid>
      <w:tr>
        <w:trPr>
          <w:tblHeader w:val="on"/>
        </w:trPr>
        <w:tc>
          <w:tcPr/>
          <w:p>
            <w:pPr>
              <w:pStyle w:val="Compact"/>
              <w:jc w:val="left"/>
            </w:pPr>
            <w:r>
              <w:t xml:space="preserve">Architecture</w:t>
            </w:r>
          </w:p>
        </w:tc>
        <w:tc>
          <w:tcPr/>
          <w:p>
            <w:pPr>
              <w:pStyle w:val="Compact"/>
              <w:jc w:val="right"/>
            </w:pPr>
            <w:r>
              <w:t xml:space="preserve">Calibrated decision threshold</w:t>
            </w:r>
          </w:p>
        </w:tc>
      </w:tr>
      <w:tr>
        <w:tc>
          <w:tcPr/>
          <w:p>
            <w:pPr>
              <w:pStyle w:val="Compact"/>
              <w:jc w:val="left"/>
            </w:pPr>
            <w:r>
              <w:t xml:space="preserve">ActionHead (action recommender)</w:t>
            </w:r>
          </w:p>
        </w:tc>
        <w:tc>
          <w:tcPr/>
          <w:p>
            <w:pPr>
              <w:pStyle w:val="Compact"/>
              <w:jc w:val="right"/>
            </w:pPr>
            <w:r>
              <w:t xml:space="preserve">4</w:t>
            </w:r>
          </w:p>
        </w:tc>
      </w:tr>
      <w:tr>
        <w:tc>
          <w:tcPr/>
          <w:p>
            <w:pPr>
              <w:pStyle w:val="Compact"/>
              <w:jc w:val="left"/>
            </w:pPr>
            <w:r>
              <w:t xml:space="preserve">Claude Opus 4.7 (safety-augmented)</w:t>
            </w:r>
          </w:p>
        </w:tc>
        <w:tc>
          <w:tcPr/>
          <w:p>
            <w:pPr>
              <w:pStyle w:val="Compact"/>
              <w:jc w:val="right"/>
            </w:pPr>
            <w:r>
              <w:t xml:space="preserve">0.5</w:t>
            </w:r>
          </w:p>
        </w:tc>
      </w:tr>
      <w:tr>
        <w:tc>
          <w:tcPr/>
          <w:p>
            <w:pPr>
              <w:pStyle w:val="Compact"/>
              <w:jc w:val="left"/>
            </w:pPr>
            <w:r>
              <w:t xml:space="preserve">Constellation architecture</w:t>
            </w:r>
          </w:p>
        </w:tc>
        <w:tc>
          <w:tcPr/>
          <w:p>
            <w:pPr>
              <w:pStyle w:val="Compact"/>
              <w:jc w:val="right"/>
            </w:pPr>
            <w:r>
              <w:t xml:space="preserve">0.9655</w:t>
            </w:r>
          </w:p>
        </w:tc>
      </w:tr>
      <w:tr>
        <w:tc>
          <w:tcPr/>
          <w:p>
            <w:pPr>
              <w:pStyle w:val="Compact"/>
              <w:jc w:val="left"/>
            </w:pPr>
            <w:r>
              <w:t xml:space="preserve">CQL controller (reward-optimized)</w:t>
            </w:r>
          </w:p>
        </w:tc>
        <w:tc>
          <w:tcPr/>
          <w:p>
            <w:pPr>
              <w:pStyle w:val="Compact"/>
              <w:jc w:val="right"/>
            </w:pPr>
            <w:r>
              <w:t xml:space="preserve">0.0323</w:t>
            </w:r>
          </w:p>
        </w:tc>
      </w:tr>
      <w:tr>
        <w:tc>
          <w:tcPr/>
          <w:p>
            <w:pPr>
              <w:pStyle w:val="Compact"/>
              <w:jc w:val="left"/>
            </w:pPr>
            <w:r>
              <w:t xml:space="preserve">CQL controller (sensitivity-optimized)</w:t>
            </w:r>
          </w:p>
        </w:tc>
        <w:tc>
          <w:tcPr/>
          <w:p>
            <w:pPr>
              <w:pStyle w:val="Compact"/>
              <w:jc w:val="right"/>
            </w:pPr>
            <w:r>
              <w:t xml:space="preserve">1</w:t>
            </w:r>
          </w:p>
        </w:tc>
      </w:tr>
      <w:tr>
        <w:tc>
          <w:tcPr/>
          <w:p>
            <w:pPr>
              <w:pStyle w:val="Compact"/>
              <w:jc w:val="left"/>
            </w:pPr>
            <w:r>
              <w:t xml:space="preserve">Gemini 3.1 Pro (safety-augmented)</w:t>
            </w:r>
          </w:p>
        </w:tc>
        <w:tc>
          <w:tcPr/>
          <w:p>
            <w:pPr>
              <w:pStyle w:val="Compact"/>
              <w:jc w:val="right"/>
            </w:pPr>
            <w:r>
              <w:t xml:space="preserve">0.5</w:t>
            </w:r>
          </w:p>
        </w:tc>
      </w:tr>
      <w:tr>
        <w:tc>
          <w:tcPr/>
          <w:p>
            <w:pPr>
              <w:pStyle w:val="Compact"/>
              <w:jc w:val="left"/>
            </w:pPr>
            <w:r>
              <w:t xml:space="preserve">Rule-based guardrails</w:t>
            </w:r>
          </w:p>
        </w:tc>
        <w:tc>
          <w:tcPr/>
          <w:p>
            <w:pPr>
              <w:pStyle w:val="Compact"/>
              <w:jc w:val="right"/>
            </w:pPr>
            <w:r>
              <w:t xml:space="preserve">0.6475</w:t>
            </w:r>
          </w:p>
        </w:tc>
      </w:tr>
      <w:tr>
        <w:tc>
          <w:tcPr/>
          <w:p>
            <w:pPr>
              <w:pStyle w:val="Compact"/>
              <w:jc w:val="left"/>
            </w:pPr>
            <w:r>
              <w:t xml:space="preserve">Logistic regression + TF-IDF</w:t>
            </w:r>
          </w:p>
        </w:tc>
        <w:tc>
          <w:tcPr/>
          <w:p>
            <w:pPr>
              <w:pStyle w:val="Compact"/>
              <w:jc w:val="right"/>
            </w:pPr>
            <w:r>
              <w:t xml:space="preserve">0.2873</w:t>
            </w:r>
          </w:p>
        </w:tc>
      </w:tr>
      <w:tr>
        <w:tc>
          <w:tcPr/>
          <w:p>
            <w:pPr>
              <w:pStyle w:val="Compact"/>
              <w:jc w:val="left"/>
            </w:pPr>
            <w:r>
              <w:t xml:space="preserve">XGBoost + sentence-BERT</w:t>
            </w:r>
          </w:p>
        </w:tc>
        <w:tc>
          <w:tcPr/>
          <w:p>
            <w:pPr>
              <w:pStyle w:val="Compact"/>
              <w:jc w:val="right"/>
            </w:pPr>
            <w:r>
              <w:t xml:space="preserve">0.1526</w:t>
            </w:r>
          </w:p>
        </w:tc>
      </w:tr>
      <w:tr>
        <w:tc>
          <w:tcPr/>
          <w:p>
            <w:pPr>
              <w:pStyle w:val="Compact"/>
              <w:jc w:val="left"/>
            </w:pPr>
            <w:r>
              <w:t xml:space="preserve">Claude Opus 4.7 (RAG)</w:t>
            </w:r>
          </w:p>
        </w:tc>
        <w:tc>
          <w:tcPr/>
          <w:p>
            <w:pPr>
              <w:pStyle w:val="Compact"/>
              <w:jc w:val="right"/>
            </w:pPr>
            <w:r>
              <w:t xml:space="preserve">0.5</w:t>
            </w:r>
          </w:p>
        </w:tc>
      </w:tr>
      <w:tr>
        <w:tc>
          <w:tcPr/>
          <w:p>
            <w:pPr>
              <w:pStyle w:val="Compact"/>
              <w:jc w:val="left"/>
            </w:pPr>
            <w:r>
              <w:t xml:space="preserve">Gemini 3.1 Pro (RAG)</w:t>
            </w:r>
          </w:p>
        </w:tc>
        <w:tc>
          <w:tcPr/>
          <w:p>
            <w:pPr>
              <w:pStyle w:val="Compact"/>
              <w:jc w:val="right"/>
            </w:pPr>
            <w:r>
              <w:t xml:space="preserve">0.5</w:t>
            </w:r>
          </w:p>
        </w:tc>
      </w:tr>
      <w:tr>
        <w:tc>
          <w:tcPr/>
          <w:p>
            <w:pPr>
              <w:pStyle w:val="Compact"/>
              <w:jc w:val="left"/>
            </w:pPr>
            <w:r>
              <w:t xml:space="preserve">GPT-5.5 (safety-augmented)</w:t>
            </w:r>
          </w:p>
        </w:tc>
        <w:tc>
          <w:tcPr/>
          <w:p>
            <w:pPr>
              <w:pStyle w:val="Compact"/>
              <w:jc w:val="right"/>
            </w:pPr>
            <w:r>
              <w:t xml:space="preserve">0.5</w:t>
            </w:r>
          </w:p>
        </w:tc>
      </w:tr>
      <w:tr>
        <w:tc>
          <w:tcPr/>
          <w:p>
            <w:pPr>
              <w:pStyle w:val="Compact"/>
              <w:jc w:val="left"/>
            </w:pPr>
            <w:r>
              <w:t xml:space="preserve">GPT-5.5 (RAG)</w:t>
            </w:r>
          </w:p>
        </w:tc>
        <w:tc>
          <w:tcPr/>
          <w:p>
            <w:pPr>
              <w:pStyle w:val="Compact"/>
              <w:jc w:val="right"/>
            </w:pPr>
            <w:r>
              <w:t xml:space="preserve">0.5</w:t>
            </w:r>
          </w:p>
        </w:tc>
      </w:tr>
    </w:tbl>
    <w:p>
      <w:pPr>
        <w:pStyle w:val="BodyText"/>
      </w:pPr>
      <w:r>
        <w:t xml:space="preserve">Caption: Per-architecture calibrated decision threshold selected on the training/validation split.</w:t>
      </w:r>
    </w:p>
    <w:p>
      <w:r>
        <w:pict>
          <v:rect style="width:0;height:1.5pt" o:hralign="center" o:hrstd="t" o:hr="t"/>
        </w:pict>
      </w:r>
    </w:p>
    <w:bookmarkEnd w:id="24"/>
    <w:bookmarkEnd w:id="25"/>
    <w:bookmarkStart w:id="40" w:name="e.-supplementary-figures"/>
    <w:p>
      <w:pPr>
        <w:pStyle w:val="Heading2"/>
      </w:pPr>
      <w:r>
        <w:t xml:space="preserve">E. Supplementary figures</w:t>
      </w:r>
    </w:p>
    <w:bookmarkStart w:id="29" w:name="Xebee312b1986f7cb8a33d719a620d9cb33efb58"/>
    <w:p>
      <w:pPr>
        <w:pStyle w:val="Heading3"/>
      </w:pPr>
      <w:r>
        <w:t xml:space="preserve">Figure S1. Operating-curve overlays for all calibrated-probability architectures.</w:t>
      </w:r>
    </w:p>
    <w:p>
      <w:pPr>
        <w:pStyle w:val="FirstParagraph"/>
      </w:pPr>
      <w:r>
        <w:drawing>
          <wp:inline>
            <wp:extent cx="5334000" cy="4623693"/>
            <wp:effectExtent b="0" l="0" r="0" t="0"/>
            <wp:docPr descr="" title="" id="27" name="Picture"/>
            <a:graphic>
              <a:graphicData uri="http://schemas.openxmlformats.org/drawingml/2006/picture">
                <pic:pic>
                  <pic:nvPicPr>
                    <pic:cNvPr descr="figures/figureS1_operating_curves.png" id="28" name="Picture"/>
                    <pic:cNvPicPr>
                      <a:picLocks noChangeArrowheads="1" noChangeAspect="1"/>
                    </pic:cNvPicPr>
                  </pic:nvPicPr>
                  <pic:blipFill>
                    <a:blip r:embed="rId26"/>
                    <a:stretch>
                      <a:fillRect/>
                    </a:stretch>
                  </pic:blipFill>
                  <pic:spPr bwMode="auto">
                    <a:xfrm>
                      <a:off x="0" y="0"/>
                      <a:ext cx="5334000" cy="4623693"/>
                    </a:xfrm>
                    <a:prstGeom prst="rect">
                      <a:avLst/>
                    </a:prstGeom>
                    <a:noFill/>
                    <a:ln w="9525">
                      <a:noFill/>
                      <a:headEnd/>
                      <a:tailEnd/>
                    </a:ln>
                  </pic:spPr>
                </pic:pic>
              </a:graphicData>
            </a:graphic>
          </wp:inline>
        </w:drawing>
      </w:r>
    </w:p>
    <w:p>
      <w:pPr>
        <w:pStyle w:val="BodyText"/>
      </w:pPr>
      <w:r>
        <w:t xml:space="preserve">Caption: Receiver operating characteristic curves overlaid for every architecture with calibrated probability output (logistic regression with TF-IDF features, XGBoost with sentence-BERT embeddings, constellation, rule-based guardrails, Conservative Q-Learning controller sensitivity-optimized, Conservative Q-Learning controller reward-optimized). The frontier large language models and the action recommender are excluded because they do not return calibrated probability output.</w:t>
      </w:r>
    </w:p>
    <w:bookmarkEnd w:id="29"/>
    <w:bookmarkStart w:id="33" w:name="Xd0666808cc6408ee026d76c85cf562f3bd20575"/>
    <w:p>
      <w:pPr>
        <w:pStyle w:val="Heading3"/>
      </w:pPr>
      <w:r>
        <w:t xml:space="preserve">Figure S2. Calibration curves and reliability diagrams per architecture.</w:t>
      </w:r>
    </w:p>
    <w:p>
      <w:pPr>
        <w:pStyle w:val="FirstParagraph"/>
      </w:pPr>
      <w:r>
        <w:drawing>
          <wp:inline>
            <wp:extent cx="5334000" cy="3204380"/>
            <wp:effectExtent b="0" l="0" r="0" t="0"/>
            <wp:docPr descr="" title="" id="31" name="Picture"/>
            <a:graphic>
              <a:graphicData uri="http://schemas.openxmlformats.org/drawingml/2006/picture">
                <pic:pic>
                  <pic:nvPicPr>
                    <pic:cNvPr descr="figures/figureS2_calibration.png" id="32" name="Picture"/>
                    <pic:cNvPicPr>
                      <a:picLocks noChangeArrowheads="1" noChangeAspect="1"/>
                    </pic:cNvPicPr>
                  </pic:nvPicPr>
                  <pic:blipFill>
                    <a:blip r:embed="rId30"/>
                    <a:stretch>
                      <a:fillRect/>
                    </a:stretch>
                  </pic:blipFill>
                  <pic:spPr bwMode="auto">
                    <a:xfrm>
                      <a:off x="0" y="0"/>
                      <a:ext cx="5334000" cy="3204380"/>
                    </a:xfrm>
                    <a:prstGeom prst="rect">
                      <a:avLst/>
                    </a:prstGeom>
                    <a:noFill/>
                    <a:ln w="9525">
                      <a:noFill/>
                      <a:headEnd/>
                      <a:tailEnd/>
                    </a:ln>
                  </pic:spPr>
                </pic:pic>
              </a:graphicData>
            </a:graphic>
          </wp:inline>
        </w:drawing>
      </w:r>
    </w:p>
    <w:p>
      <w:pPr>
        <w:pStyle w:val="BodyText"/>
      </w:pPr>
      <w:r>
        <w:t xml:space="preserve">Caption: Per-architecture calibration plots showing predicted versus observed hazard frequencies in deciles, restricted to the architectures with calibrated probability outputs.</w:t>
      </w:r>
    </w:p>
    <w:bookmarkEnd w:id="33"/>
    <w:bookmarkStart w:id="37" w:name="Xb3a1066a4fccbbfaaaa751b0a71fb7e004c1200"/>
    <w:p>
      <w:pPr>
        <w:pStyle w:val="Heading3"/>
      </w:pPr>
      <w:r>
        <w:t xml:space="preserve">Figure S3. Hazard-category sensitivity by architecture.</w:t>
      </w:r>
    </w:p>
    <w:p>
      <w:pPr>
        <w:pStyle w:val="FirstParagraph"/>
      </w:pPr>
      <w:r>
        <w:drawing>
          <wp:inline>
            <wp:extent cx="5334000" cy="2442421"/>
            <wp:effectExtent b="0" l="0" r="0" t="0"/>
            <wp:docPr descr="" title="" id="35" name="Picture"/>
            <a:graphic>
              <a:graphicData uri="http://schemas.openxmlformats.org/drawingml/2006/picture">
                <pic:pic>
                  <pic:nvPicPr>
                    <pic:cNvPr descr="figures/figureS3_category_sensitivity.png" id="36" name="Picture"/>
                    <pic:cNvPicPr>
                      <a:picLocks noChangeArrowheads="1" noChangeAspect="1"/>
                    </pic:cNvPicPr>
                  </pic:nvPicPr>
                  <pic:blipFill>
                    <a:blip r:embed="rId34"/>
                    <a:stretch>
                      <a:fillRect/>
                    </a:stretch>
                  </pic:blipFill>
                  <pic:spPr bwMode="auto">
                    <a:xfrm>
                      <a:off x="0" y="0"/>
                      <a:ext cx="5334000" cy="2442421"/>
                    </a:xfrm>
                    <a:prstGeom prst="rect">
                      <a:avLst/>
                    </a:prstGeom>
                    <a:noFill/>
                    <a:ln w="9525">
                      <a:noFill/>
                      <a:headEnd/>
                      <a:tailEnd/>
                    </a:ln>
                  </pic:spPr>
                </pic:pic>
              </a:graphicData>
            </a:graphic>
          </wp:inline>
        </w:drawing>
      </w:r>
    </w:p>
    <w:p>
      <w:pPr>
        <w:pStyle w:val="BodyText"/>
      </w:pPr>
      <w:r>
        <w:t xml:space="preserve">Caption: Per-hazard-category sensitivity by architecture on the real-world test set. The horizontal dashed line at sensitivity 0.80 indicates a conventional sensitivity floor cited for clinical computer-aided detection benchmarks. Absent bars indicate sensitivity values of zero (the architecture detected no hazards in that category) rather than missing data. Categories in which any architecture has a zero-height bar reflect that architecture’s calibrated operating threshold being above the highest probability the architecture assigned to any hazard-positive message in the category; alternative thresholds for the same architecture would yield non-zero sensitivity at the cost of lower specificity (see main text Table 6, Panel A, for the sensitivity-floor sweep).</w:t>
      </w:r>
    </w:p>
    <w:p>
      <w:r>
        <w:pict>
          <v:rect style="width:0;height:1.5pt" o:hralign="center" o:hrstd="t" o:hr="t"/>
        </w:pict>
      </w:r>
    </w:p>
    <w:bookmarkEnd w:id="37"/>
    <w:bookmarkStart w:id="38" w:name="X0e7b4f5dee5e2145557ee4210267114e3d68242"/>
    <w:p>
      <w:pPr>
        <w:pStyle w:val="Heading3"/>
      </w:pPr>
      <w:r>
        <w:t xml:space="preserve">Table S7. Action recommendation appropriateness on the real-world test set (moved from main text per BMC MIDM length guidance).</w:t>
      </w:r>
    </w:p>
    <w:tbl>
      <w:tblPr>
        <w:tblStyle w:val="Table"/>
        <w:tblW w:type="pct" w:w="5000"/>
        <w:tblLayout w:type="fixed"/>
        <w:tblLook w:firstRow="1" w:lastRow="0" w:firstColumn="0" w:lastColumn="0" w:noHBand="0" w:noVBand="0" w:val="0020"/>
      </w:tblPr>
      <w:tblGrid>
        <w:gridCol w:w="2731"/>
        <w:gridCol w:w="1502"/>
        <w:gridCol w:w="1570"/>
        <w:gridCol w:w="1502"/>
        <w:gridCol w:w="614"/>
      </w:tblGrid>
      <w:tr>
        <w:trPr>
          <w:tblHeader w:val="on"/>
        </w:trPr>
        <w:tc>
          <w:tcPr/>
          <w:p>
            <w:pPr>
              <w:pStyle w:val="Compact"/>
              <w:jc w:val="left"/>
            </w:pPr>
            <w:r>
              <w:t xml:space="preserve">Architecture</w:t>
            </w:r>
          </w:p>
        </w:tc>
        <w:tc>
          <w:tcPr/>
          <w:p>
            <w:pPr>
              <w:pStyle w:val="Compact"/>
              <w:jc w:val="left"/>
            </w:pPr>
            <w:r>
              <w:t xml:space="preserve">Appropriate (n, %)</w:t>
            </w:r>
          </w:p>
        </w:tc>
        <w:tc>
          <w:tcPr/>
          <w:p>
            <w:pPr>
              <w:pStyle w:val="Compact"/>
              <w:jc w:val="left"/>
            </w:pPr>
            <w:r>
              <w:t xml:space="preserve">Under-triage (n, %)</w:t>
            </w:r>
          </w:p>
        </w:tc>
        <w:tc>
          <w:tcPr/>
          <w:p>
            <w:pPr>
              <w:pStyle w:val="Compact"/>
              <w:jc w:val="left"/>
            </w:pPr>
            <w:r>
              <w:t xml:space="preserve">Over-triage (n, %)</w:t>
            </w:r>
          </w:p>
        </w:tc>
        <w:tc>
          <w:tcPr/>
          <w:p>
            <w:pPr>
              <w:pStyle w:val="Compact"/>
              <w:jc w:val="right"/>
            </w:pPr>
            <w:r>
              <w:t xml:space="preserve">Total</w:t>
            </w:r>
          </w:p>
        </w:tc>
      </w:tr>
      <w:tr>
        <w:tc>
          <w:tcPr/>
          <w:p>
            <w:pPr>
              <w:pStyle w:val="Compact"/>
              <w:jc w:val="left"/>
            </w:pPr>
            <w:r>
              <w:t xml:space="preserve">ActionHead (action recommender)</w:t>
            </w:r>
          </w:p>
        </w:tc>
        <w:tc>
          <w:tcPr/>
          <w:p>
            <w:pPr>
              <w:pStyle w:val="Compact"/>
              <w:jc w:val="left"/>
            </w:pPr>
            <w:r>
              <w:t xml:space="preserve">1142 (57.1%)</w:t>
            </w:r>
          </w:p>
        </w:tc>
        <w:tc>
          <w:tcPr/>
          <w:p>
            <w:pPr>
              <w:pStyle w:val="Compact"/>
              <w:jc w:val="left"/>
            </w:pPr>
            <w:r>
              <w:t xml:space="preserve">431 (21.6%)</w:t>
            </w:r>
          </w:p>
        </w:tc>
        <w:tc>
          <w:tcPr/>
          <w:p>
            <w:pPr>
              <w:pStyle w:val="Compact"/>
              <w:jc w:val="left"/>
            </w:pPr>
            <w:r>
              <w:t xml:space="preserve">427 (21.4%)</w:t>
            </w:r>
          </w:p>
        </w:tc>
        <w:tc>
          <w:tcPr/>
          <w:p>
            <w:pPr>
              <w:pStyle w:val="Compact"/>
              <w:jc w:val="right"/>
            </w:pPr>
            <w:r>
              <w:t xml:space="preserve">2000</w:t>
            </w:r>
          </w:p>
        </w:tc>
      </w:tr>
      <w:tr>
        <w:tc>
          <w:tcPr/>
          <w:p>
            <w:pPr>
              <w:pStyle w:val="Compact"/>
              <w:jc w:val="left"/>
            </w:pPr>
            <w:r>
              <w:t xml:space="preserve">Claude Opus 4.7 (RAG)</w:t>
            </w:r>
          </w:p>
        </w:tc>
        <w:tc>
          <w:tcPr/>
          <w:p>
            <w:pPr>
              <w:pStyle w:val="Compact"/>
              <w:jc w:val="left"/>
            </w:pPr>
            <w:r>
              <w:t xml:space="preserve">982 (49.1%)</w:t>
            </w:r>
          </w:p>
        </w:tc>
        <w:tc>
          <w:tcPr/>
          <w:p>
            <w:pPr>
              <w:pStyle w:val="Compact"/>
              <w:jc w:val="left"/>
            </w:pPr>
            <w:r>
              <w:t xml:space="preserve">524 (26.2%)</w:t>
            </w:r>
          </w:p>
        </w:tc>
        <w:tc>
          <w:tcPr/>
          <w:p>
            <w:pPr>
              <w:pStyle w:val="Compact"/>
              <w:jc w:val="left"/>
            </w:pPr>
            <w:r>
              <w:t xml:space="preserve">494 (24.7%)</w:t>
            </w:r>
          </w:p>
        </w:tc>
        <w:tc>
          <w:tcPr/>
          <w:p>
            <w:pPr>
              <w:pStyle w:val="Compact"/>
              <w:jc w:val="right"/>
            </w:pPr>
            <w:r>
              <w:t xml:space="preserve">2000</w:t>
            </w:r>
          </w:p>
        </w:tc>
      </w:tr>
      <w:tr>
        <w:tc>
          <w:tcPr/>
          <w:p>
            <w:pPr>
              <w:pStyle w:val="Compact"/>
              <w:jc w:val="left"/>
            </w:pPr>
            <w:r>
              <w:t xml:space="preserve">Claude Opus 4.7 (safety-augmented)</w:t>
            </w:r>
          </w:p>
        </w:tc>
        <w:tc>
          <w:tcPr/>
          <w:p>
            <w:pPr>
              <w:pStyle w:val="Compact"/>
              <w:jc w:val="left"/>
            </w:pPr>
            <w:r>
              <w:t xml:space="preserve">537 (26.9%)</w:t>
            </w:r>
          </w:p>
        </w:tc>
        <w:tc>
          <w:tcPr/>
          <w:p>
            <w:pPr>
              <w:pStyle w:val="Compact"/>
              <w:jc w:val="left"/>
            </w:pPr>
            <w:r>
              <w:t xml:space="preserve">458 (22.9%)</w:t>
            </w:r>
          </w:p>
        </w:tc>
        <w:tc>
          <w:tcPr/>
          <w:p>
            <w:pPr>
              <w:pStyle w:val="Compact"/>
              <w:jc w:val="left"/>
            </w:pPr>
            <w:r>
              <w:t xml:space="preserve">1005 (50.2%)</w:t>
            </w:r>
          </w:p>
        </w:tc>
        <w:tc>
          <w:tcPr/>
          <w:p>
            <w:pPr>
              <w:pStyle w:val="Compact"/>
              <w:jc w:val="right"/>
            </w:pPr>
            <w:r>
              <w:t xml:space="preserve">2000</w:t>
            </w:r>
          </w:p>
        </w:tc>
      </w:tr>
      <w:tr>
        <w:tc>
          <w:tcPr/>
          <w:p>
            <w:pPr>
              <w:pStyle w:val="Compact"/>
              <w:jc w:val="left"/>
            </w:pPr>
            <w:r>
              <w:t xml:space="preserve">Constellation architecture</w:t>
            </w:r>
          </w:p>
        </w:tc>
        <w:tc>
          <w:tcPr/>
          <w:p>
            <w:pPr>
              <w:pStyle w:val="Compact"/>
              <w:jc w:val="left"/>
            </w:pPr>
            <w:r>
              <w:t xml:space="preserve">1360 (68.0%)</w:t>
            </w:r>
          </w:p>
        </w:tc>
        <w:tc>
          <w:tcPr/>
          <w:p>
            <w:pPr>
              <w:pStyle w:val="Compact"/>
              <w:jc w:val="left"/>
            </w:pPr>
            <w:r>
              <w:t xml:space="preserve">588 (29.4%)</w:t>
            </w:r>
          </w:p>
        </w:tc>
        <w:tc>
          <w:tcPr/>
          <w:p>
            <w:pPr>
              <w:pStyle w:val="Compact"/>
              <w:jc w:val="left"/>
            </w:pPr>
            <w:r>
              <w:t xml:space="preserve">52 (2.6%)</w:t>
            </w:r>
          </w:p>
        </w:tc>
        <w:tc>
          <w:tcPr/>
          <w:p>
            <w:pPr>
              <w:pStyle w:val="Compact"/>
              <w:jc w:val="right"/>
            </w:pPr>
            <w:r>
              <w:t xml:space="preserve">2000</w:t>
            </w:r>
          </w:p>
        </w:tc>
      </w:tr>
      <w:tr>
        <w:tc>
          <w:tcPr/>
          <w:p>
            <w:pPr>
              <w:pStyle w:val="Compact"/>
              <w:jc w:val="left"/>
            </w:pPr>
            <w:r>
              <w:t xml:space="preserve">CQL controller (reward-optimized)</w:t>
            </w:r>
          </w:p>
        </w:tc>
        <w:tc>
          <w:tcPr/>
          <w:p>
            <w:pPr>
              <w:pStyle w:val="Compact"/>
              <w:jc w:val="left"/>
            </w:pPr>
            <w:r>
              <w:t xml:space="preserve">236 (11.8%)</w:t>
            </w:r>
          </w:p>
        </w:tc>
        <w:tc>
          <w:tcPr/>
          <w:p>
            <w:pPr>
              <w:pStyle w:val="Compact"/>
              <w:jc w:val="left"/>
            </w:pPr>
            <w:r>
              <w:t xml:space="preserve">59 (3.0%)</w:t>
            </w:r>
          </w:p>
        </w:tc>
        <w:tc>
          <w:tcPr/>
          <w:p>
            <w:pPr>
              <w:pStyle w:val="Compact"/>
              <w:jc w:val="left"/>
            </w:pPr>
            <w:r>
              <w:t xml:space="preserve">1705 (85.2%)</w:t>
            </w:r>
          </w:p>
        </w:tc>
        <w:tc>
          <w:tcPr/>
          <w:p>
            <w:pPr>
              <w:pStyle w:val="Compact"/>
              <w:jc w:val="right"/>
            </w:pPr>
            <w:r>
              <w:t xml:space="preserve">2000</w:t>
            </w:r>
          </w:p>
        </w:tc>
      </w:tr>
      <w:tr>
        <w:tc>
          <w:tcPr/>
          <w:p>
            <w:pPr>
              <w:pStyle w:val="Compact"/>
              <w:jc w:val="left"/>
            </w:pPr>
            <w:r>
              <w:t xml:space="preserve">CQL controller (sensitivity-optimized)</w:t>
            </w:r>
          </w:p>
        </w:tc>
        <w:tc>
          <w:tcPr/>
          <w:p>
            <w:pPr>
              <w:pStyle w:val="Compact"/>
              <w:jc w:val="left"/>
            </w:pPr>
            <w:r>
              <w:t xml:space="preserve">1391 (69.5%)</w:t>
            </w:r>
          </w:p>
        </w:tc>
        <w:tc>
          <w:tcPr/>
          <w:p>
            <w:pPr>
              <w:pStyle w:val="Compact"/>
              <w:jc w:val="left"/>
            </w:pPr>
            <w:r>
              <w:t xml:space="preserve">602 (30.1%)</w:t>
            </w:r>
          </w:p>
        </w:tc>
        <w:tc>
          <w:tcPr/>
          <w:p>
            <w:pPr>
              <w:pStyle w:val="Compact"/>
              <w:jc w:val="left"/>
            </w:pPr>
            <w:r>
              <w:t xml:space="preserve">7 (0.3%)</w:t>
            </w:r>
          </w:p>
        </w:tc>
        <w:tc>
          <w:tcPr/>
          <w:p>
            <w:pPr>
              <w:pStyle w:val="Compact"/>
              <w:jc w:val="right"/>
            </w:pPr>
            <w:r>
              <w:t xml:space="preserve">2000</w:t>
            </w:r>
          </w:p>
        </w:tc>
      </w:tr>
      <w:tr>
        <w:tc>
          <w:tcPr/>
          <w:p>
            <w:pPr>
              <w:pStyle w:val="Compact"/>
              <w:jc w:val="left"/>
            </w:pPr>
            <w:r>
              <w:t xml:space="preserve">Gemini 3.1 Pro (RAG)</w:t>
            </w:r>
          </w:p>
        </w:tc>
        <w:tc>
          <w:tcPr/>
          <w:p>
            <w:pPr>
              <w:pStyle w:val="Compact"/>
              <w:jc w:val="left"/>
            </w:pPr>
            <w:r>
              <w:t xml:space="preserve">1180 (59.0%)</w:t>
            </w:r>
          </w:p>
        </w:tc>
        <w:tc>
          <w:tcPr/>
          <w:p>
            <w:pPr>
              <w:pStyle w:val="Compact"/>
              <w:jc w:val="left"/>
            </w:pPr>
            <w:r>
              <w:t xml:space="preserve">558 (27.9%)</w:t>
            </w:r>
          </w:p>
        </w:tc>
        <w:tc>
          <w:tcPr/>
          <w:p>
            <w:pPr>
              <w:pStyle w:val="Compact"/>
              <w:jc w:val="left"/>
            </w:pPr>
            <w:r>
              <w:t xml:space="preserve">262 (13.1%)</w:t>
            </w:r>
          </w:p>
        </w:tc>
        <w:tc>
          <w:tcPr/>
          <w:p>
            <w:pPr>
              <w:pStyle w:val="Compact"/>
              <w:jc w:val="right"/>
            </w:pPr>
            <w:r>
              <w:t xml:space="preserve">2000</w:t>
            </w:r>
          </w:p>
        </w:tc>
      </w:tr>
      <w:tr>
        <w:tc>
          <w:tcPr/>
          <w:p>
            <w:pPr>
              <w:pStyle w:val="Compact"/>
              <w:jc w:val="left"/>
            </w:pPr>
            <w:r>
              <w:t xml:space="preserve">Gemini 3.1 Pro (safety-augmented)</w:t>
            </w:r>
          </w:p>
        </w:tc>
        <w:tc>
          <w:tcPr/>
          <w:p>
            <w:pPr>
              <w:pStyle w:val="Compact"/>
              <w:jc w:val="left"/>
            </w:pPr>
            <w:r>
              <w:t xml:space="preserve">1209 (60.5%)</w:t>
            </w:r>
          </w:p>
        </w:tc>
        <w:tc>
          <w:tcPr/>
          <w:p>
            <w:pPr>
              <w:pStyle w:val="Compact"/>
              <w:jc w:val="left"/>
            </w:pPr>
            <w:r>
              <w:t xml:space="preserve">572 (28.6%)</w:t>
            </w:r>
          </w:p>
        </w:tc>
        <w:tc>
          <w:tcPr/>
          <w:p>
            <w:pPr>
              <w:pStyle w:val="Compact"/>
              <w:jc w:val="left"/>
            </w:pPr>
            <w:r>
              <w:t xml:space="preserve">219 (10.9%)</w:t>
            </w:r>
          </w:p>
        </w:tc>
        <w:tc>
          <w:tcPr/>
          <w:p>
            <w:pPr>
              <w:pStyle w:val="Compact"/>
              <w:jc w:val="right"/>
            </w:pPr>
            <w:r>
              <w:t xml:space="preserve">2000</w:t>
            </w:r>
          </w:p>
        </w:tc>
      </w:tr>
      <w:tr>
        <w:tc>
          <w:tcPr/>
          <w:p>
            <w:pPr>
              <w:pStyle w:val="Compact"/>
              <w:jc w:val="left"/>
            </w:pPr>
            <w:r>
              <w:t xml:space="preserve">GPT-5.5 (RAG)</w:t>
            </w:r>
          </w:p>
        </w:tc>
        <w:tc>
          <w:tcPr/>
          <w:p>
            <w:pPr>
              <w:pStyle w:val="Compact"/>
              <w:jc w:val="left"/>
            </w:pPr>
            <w:r>
              <w:t xml:space="preserve">1098 (54.9%)</w:t>
            </w:r>
          </w:p>
        </w:tc>
        <w:tc>
          <w:tcPr/>
          <w:p>
            <w:pPr>
              <w:pStyle w:val="Compact"/>
              <w:jc w:val="left"/>
            </w:pPr>
            <w:r>
              <w:t xml:space="preserve">509 (25.4%)</w:t>
            </w:r>
          </w:p>
        </w:tc>
        <w:tc>
          <w:tcPr/>
          <w:p>
            <w:pPr>
              <w:pStyle w:val="Compact"/>
              <w:jc w:val="left"/>
            </w:pPr>
            <w:r>
              <w:t xml:space="preserve">393 (19.6%)</w:t>
            </w:r>
          </w:p>
        </w:tc>
        <w:tc>
          <w:tcPr/>
          <w:p>
            <w:pPr>
              <w:pStyle w:val="Compact"/>
              <w:jc w:val="right"/>
            </w:pPr>
            <w:r>
              <w:t xml:space="preserve">2000</w:t>
            </w:r>
          </w:p>
        </w:tc>
      </w:tr>
      <w:tr>
        <w:tc>
          <w:tcPr/>
          <w:p>
            <w:pPr>
              <w:pStyle w:val="Compact"/>
              <w:jc w:val="left"/>
            </w:pPr>
            <w:r>
              <w:t xml:space="preserve">GPT-5.5 (safety-augmented)</w:t>
            </w:r>
          </w:p>
        </w:tc>
        <w:tc>
          <w:tcPr/>
          <w:p>
            <w:pPr>
              <w:pStyle w:val="Compact"/>
              <w:jc w:val="left"/>
            </w:pPr>
            <w:r>
              <w:t xml:space="preserve">780 (39.0%)</w:t>
            </w:r>
          </w:p>
        </w:tc>
        <w:tc>
          <w:tcPr/>
          <w:p>
            <w:pPr>
              <w:pStyle w:val="Compact"/>
              <w:jc w:val="left"/>
            </w:pPr>
            <w:r>
              <w:t xml:space="preserve">460 (23.0%)</w:t>
            </w:r>
          </w:p>
        </w:tc>
        <w:tc>
          <w:tcPr/>
          <w:p>
            <w:pPr>
              <w:pStyle w:val="Compact"/>
              <w:jc w:val="left"/>
            </w:pPr>
            <w:r>
              <w:t xml:space="preserve">760 (38.0%)</w:t>
            </w:r>
          </w:p>
        </w:tc>
        <w:tc>
          <w:tcPr/>
          <w:p>
            <w:pPr>
              <w:pStyle w:val="Compact"/>
              <w:jc w:val="right"/>
            </w:pPr>
            <w:r>
              <w:t xml:space="preserve">2000</w:t>
            </w:r>
          </w:p>
        </w:tc>
      </w:tr>
      <w:tr>
        <w:tc>
          <w:tcPr/>
          <w:p>
            <w:pPr>
              <w:pStyle w:val="Compact"/>
              <w:jc w:val="left"/>
            </w:pPr>
            <w:r>
              <w:t xml:space="preserve">Rule-based guardrails</w:t>
            </w:r>
          </w:p>
        </w:tc>
        <w:tc>
          <w:tcPr/>
          <w:p>
            <w:pPr>
              <w:pStyle w:val="Compact"/>
              <w:jc w:val="left"/>
            </w:pPr>
            <w:r>
              <w:t xml:space="preserve">1379 (69.0%)</w:t>
            </w:r>
          </w:p>
        </w:tc>
        <w:tc>
          <w:tcPr/>
          <w:p>
            <w:pPr>
              <w:pStyle w:val="Compact"/>
              <w:jc w:val="left"/>
            </w:pPr>
            <w:r>
              <w:t xml:space="preserve">589 (29.4%)</w:t>
            </w:r>
          </w:p>
        </w:tc>
        <w:tc>
          <w:tcPr/>
          <w:p>
            <w:pPr>
              <w:pStyle w:val="Compact"/>
              <w:jc w:val="left"/>
            </w:pPr>
            <w:r>
              <w:t xml:space="preserve">32 (1.6%)</w:t>
            </w:r>
          </w:p>
        </w:tc>
        <w:tc>
          <w:tcPr/>
          <w:p>
            <w:pPr>
              <w:pStyle w:val="Compact"/>
              <w:jc w:val="right"/>
            </w:pPr>
            <w:r>
              <w:t xml:space="preserve">2000</w:t>
            </w:r>
          </w:p>
        </w:tc>
      </w:tr>
      <w:tr>
        <w:tc>
          <w:tcPr/>
          <w:p>
            <w:pPr>
              <w:pStyle w:val="Compact"/>
              <w:jc w:val="left"/>
            </w:pPr>
            <w:r>
              <w:t xml:space="preserve">Logistic regression + TF-IDF</w:t>
            </w:r>
          </w:p>
        </w:tc>
        <w:tc>
          <w:tcPr/>
          <w:p>
            <w:pPr>
              <w:pStyle w:val="Compact"/>
              <w:jc w:val="left"/>
            </w:pPr>
            <w:r>
              <w:t xml:space="preserve">240 (12.0%)</w:t>
            </w:r>
          </w:p>
        </w:tc>
        <w:tc>
          <w:tcPr/>
          <w:p>
            <w:pPr>
              <w:pStyle w:val="Compact"/>
              <w:jc w:val="left"/>
            </w:pPr>
            <w:r>
              <w:t xml:space="preserve">66 (3.3%)</w:t>
            </w:r>
          </w:p>
        </w:tc>
        <w:tc>
          <w:tcPr/>
          <w:p>
            <w:pPr>
              <w:pStyle w:val="Compact"/>
              <w:jc w:val="left"/>
            </w:pPr>
            <w:r>
              <w:t xml:space="preserve">1694 (84.7%)</w:t>
            </w:r>
          </w:p>
        </w:tc>
        <w:tc>
          <w:tcPr/>
          <w:p>
            <w:pPr>
              <w:pStyle w:val="Compact"/>
              <w:jc w:val="right"/>
            </w:pPr>
            <w:r>
              <w:t xml:space="preserve">2000</w:t>
            </w:r>
          </w:p>
        </w:tc>
      </w:tr>
      <w:tr>
        <w:tc>
          <w:tcPr/>
          <w:p>
            <w:pPr>
              <w:pStyle w:val="Compact"/>
              <w:jc w:val="left"/>
            </w:pPr>
            <w:r>
              <w:t xml:space="preserve">XGBoost + sentence-BERT</w:t>
            </w:r>
          </w:p>
        </w:tc>
        <w:tc>
          <w:tcPr/>
          <w:p>
            <w:pPr>
              <w:pStyle w:val="Compact"/>
              <w:jc w:val="left"/>
            </w:pPr>
            <w:r>
              <w:t xml:space="preserve">1045 (52.2%)</w:t>
            </w:r>
          </w:p>
        </w:tc>
        <w:tc>
          <w:tcPr/>
          <w:p>
            <w:pPr>
              <w:pStyle w:val="Compact"/>
              <w:jc w:val="left"/>
            </w:pPr>
            <w:r>
              <w:t xml:space="preserve">432 (21.6%)</w:t>
            </w:r>
          </w:p>
        </w:tc>
        <w:tc>
          <w:tcPr/>
          <w:p>
            <w:pPr>
              <w:pStyle w:val="Compact"/>
              <w:jc w:val="left"/>
            </w:pPr>
            <w:r>
              <w:t xml:space="preserve">523 (26.1%)</w:t>
            </w:r>
          </w:p>
        </w:tc>
        <w:tc>
          <w:tcPr/>
          <w:p>
            <w:pPr>
              <w:pStyle w:val="Compact"/>
              <w:jc w:val="right"/>
            </w:pPr>
            <w:r>
              <w:t xml:space="preserve">2000</w:t>
            </w:r>
          </w:p>
        </w:tc>
      </w:tr>
    </w:tbl>
    <w:p>
      <w:pPr>
        <w:pStyle w:val="BodyText"/>
      </w:pPr>
      <w:r>
        <w:t xml:space="preserve">Caption: For each architecture, the proportion of recommendations classified as appropriate (matching the physician-adjudicated reference action), under-triage (recommending a less urgent action), or over-triage (recommending a more urgent action) on the 8-point ordinal action scale, on the 2000-message held-out real-world test set. Architectures using a deterministic binary hazard-to-action mapping (logistic regression, XGBoost, rule-based guardrails, the sensitivity-optimized Conservative Q-Learning controller, and the constellation classifier all map a positive hazard prediction to a single fixed escalation action and a negative hazard prediction to Action 1) carry a structural under-triage floor determined by the proportion of test-set messages whose reference action lies between the architecture’s escalation action and Action 1; this floor is a property of the binary-mapping design rather than of the model’s discriminative capacity, and is reflected in the under-triage column for those architectures. Native multi-class action recommenders (the ActionHead classifier) and free-text-output language models (Claude Opus 4.7, Gemini 3.1 Pro Preview) are not subject to this binary-mapping floor.</w:t>
      </w:r>
      <w:r>
        <w:t xml:space="preserve"> </w:t>
      </w:r>
      <w:r>
        <w:t xml:space="preserve">### Table S8. Closing-the-gap interventions: synthesis of best operating points under each strategy.</w:t>
      </w:r>
    </w:p>
    <w:tbl>
      <w:tblPr>
        <w:tblStyle w:val="Table"/>
        <w:tblW w:type="pct" w:w="5000"/>
        <w:tblLayout w:type="fixed"/>
        <w:tblLook w:firstRow="1" w:lastRow="0" w:firstColumn="0" w:lastColumn="0" w:noHBand="0" w:noVBand="0" w:val="0020"/>
      </w:tblPr>
      <w:tblGrid>
        <w:gridCol w:w="2210"/>
        <w:gridCol w:w="2910"/>
        <w:gridCol w:w="405"/>
        <w:gridCol w:w="699"/>
        <w:gridCol w:w="699"/>
        <w:gridCol w:w="994"/>
      </w:tblGrid>
      <w:tr>
        <w:trPr>
          <w:tblHeader w:val="on"/>
        </w:trPr>
        <w:tc>
          <w:tcPr/>
          <w:p>
            <w:pPr>
              <w:pStyle w:val="Compact"/>
              <w:jc w:val="left"/>
            </w:pPr>
            <w:r>
              <w:t xml:space="preserve">Strategy</w:t>
            </w:r>
          </w:p>
        </w:tc>
        <w:tc>
          <w:tcPr/>
          <w:p>
            <w:pPr>
              <w:pStyle w:val="Compact"/>
              <w:jc w:val="left"/>
            </w:pPr>
            <w:r>
              <w:t xml:space="preserve">Best balanced (sens, spec)</w:t>
            </w:r>
          </w:p>
        </w:tc>
        <w:tc>
          <w:tcPr/>
          <w:p>
            <w:pPr>
              <w:pStyle w:val="Compact"/>
              <w:jc w:val="left"/>
            </w:pPr>
            <w:r>
              <w:t xml:space="preserve">Best F1</w:t>
            </w:r>
          </w:p>
        </w:tc>
        <w:tc>
          <w:tcPr/>
          <w:p>
            <w:pPr>
              <w:pStyle w:val="Compact"/>
              <w:jc w:val="left"/>
            </w:pPr>
            <w:r>
              <w:t xml:space="preserve">Sens at best F1</w:t>
            </w:r>
          </w:p>
        </w:tc>
        <w:tc>
          <w:tcPr/>
          <w:p>
            <w:pPr>
              <w:pStyle w:val="Compact"/>
              <w:jc w:val="left"/>
            </w:pPr>
            <w:r>
              <w:t xml:space="preserve">Spec at best F1</w:t>
            </w:r>
          </w:p>
        </w:tc>
        <w:tc>
          <w:tcPr/>
          <w:p>
            <w:pPr>
              <w:pStyle w:val="Compact"/>
              <w:jc w:val="left"/>
            </w:pPr>
            <w:r>
              <w:t xml:space="preserve">Clinical-grade reached?</w:t>
            </w:r>
          </w:p>
        </w:tc>
      </w:tr>
      <w:tr>
        <w:tc>
          <w:tcPr/>
          <w:p>
            <w:pPr>
              <w:pStyle w:val="Compact"/>
              <w:jc w:val="left"/>
            </w:pPr>
            <w:r>
              <w:rPr>
                <w:b/>
                <w:bCs/>
              </w:rPr>
              <w:t xml:space="preserve">Clinical-grade target</w:t>
            </w:r>
          </w:p>
        </w:tc>
        <w:tc>
          <w:tcPr/>
          <w:p>
            <w:pPr>
              <w:pStyle w:val="Compact"/>
              <w:jc w:val="left"/>
            </w:pPr>
            <w:r>
              <w:t xml:space="preserve">≥0.80, ≥0.80</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c>
          <w:tcPr/>
          <w:p>
            <w:pPr>
              <w:pStyle w:val="Compact"/>
              <w:jc w:val="left"/>
            </w:pPr>
            <w:r>
              <w:t xml:space="preserve">Target</w:t>
            </w:r>
          </w:p>
        </w:tc>
      </w:tr>
      <w:tr>
        <w:tc>
          <w:tcPr/>
          <w:p>
            <w:pPr>
              <w:pStyle w:val="Compact"/>
              <w:jc w:val="left"/>
            </w:pPr>
            <w:r>
              <w:t xml:space="preserve">Single architecture (default threshold)</w:t>
            </w:r>
          </w:p>
        </w:tc>
        <w:tc>
          <w:tcPr/>
          <w:p>
            <w:pPr>
              <w:pStyle w:val="Compact"/>
              <w:jc w:val="left"/>
            </w:pPr>
            <w:r>
              <w:t xml:space="preserve">0.424, 0.802 (ActionHead (action recommender))</w:t>
            </w:r>
          </w:p>
        </w:tc>
        <w:tc>
          <w:tcPr/>
          <w:p>
            <w:pPr>
              <w:pStyle w:val="Compact"/>
              <w:jc w:val="left"/>
            </w:pPr>
            <w:r>
              <w:t xml:space="preserve">0.234</w:t>
            </w:r>
          </w:p>
        </w:tc>
        <w:tc>
          <w:tcPr/>
          <w:p>
            <w:pPr>
              <w:pStyle w:val="Compact"/>
              <w:jc w:val="left"/>
            </w:pPr>
            <w:r>
              <w:t xml:space="preserve">0.424</w:t>
            </w:r>
          </w:p>
        </w:tc>
        <w:tc>
          <w:tcPr/>
          <w:p>
            <w:pPr>
              <w:pStyle w:val="Compact"/>
              <w:jc w:val="left"/>
            </w:pPr>
            <w:r>
              <w:t xml:space="preserve">0.802</w:t>
            </w:r>
          </w:p>
        </w:tc>
        <w:tc>
          <w:tcPr/>
          <w:p>
            <w:pPr>
              <w:pStyle w:val="Compact"/>
              <w:jc w:val="left"/>
            </w:pPr>
            <w:r>
              <w:t xml:space="preserve">No</w:t>
            </w:r>
          </w:p>
        </w:tc>
      </w:tr>
      <w:tr>
        <w:tc>
          <w:tcPr/>
          <w:p>
            <w:pPr>
              <w:pStyle w:val="Compact"/>
              <w:jc w:val="left"/>
            </w:pPr>
            <w:r>
              <w:t xml:space="preserve">Single architecture (threshold-optimized)</w:t>
            </w:r>
          </w:p>
        </w:tc>
        <w:tc>
          <w:tcPr/>
          <w:p>
            <w:pPr>
              <w:pStyle w:val="Compact"/>
              <w:jc w:val="left"/>
            </w:pPr>
            <w:r>
              <w:t xml:space="preserve">0.594, 0.592 (XGBoost + sentence-BERT)</w:t>
            </w:r>
          </w:p>
        </w:tc>
        <w:tc>
          <w:tcPr/>
          <w:p>
            <w:pPr>
              <w:pStyle w:val="Compact"/>
              <w:jc w:val="left"/>
            </w:pPr>
            <w:r>
              <w:t xml:space="preserve">0.201</w:t>
            </w:r>
          </w:p>
        </w:tc>
        <w:tc>
          <w:tcPr/>
          <w:p>
            <w:pPr>
              <w:pStyle w:val="Compact"/>
              <w:jc w:val="left"/>
            </w:pPr>
            <w:r>
              <w:t xml:space="preserve">0.412</w:t>
            </w:r>
          </w:p>
        </w:tc>
        <w:tc>
          <w:tcPr/>
          <w:p>
            <w:pPr>
              <w:pStyle w:val="Compact"/>
              <w:jc w:val="left"/>
            </w:pPr>
            <w:r>
              <w:t xml:space="preserve">0.759</w:t>
            </w:r>
          </w:p>
        </w:tc>
        <w:tc>
          <w:tcPr/>
          <w:p>
            <w:pPr>
              <w:pStyle w:val="Compact"/>
              <w:jc w:val="left"/>
            </w:pPr>
            <w:r>
              <w:t xml:space="preserve">No</w:t>
            </w:r>
          </w:p>
        </w:tc>
      </w:tr>
      <w:tr>
        <w:tc>
          <w:tcPr/>
          <w:p>
            <w:pPr>
              <w:pStyle w:val="Compact"/>
              <w:jc w:val="left"/>
            </w:pPr>
            <w:r>
              <w:t xml:space="preserve">Ensemble of 9 architectures (213 configurations evaluated)</w:t>
            </w:r>
          </w:p>
        </w:tc>
        <w:tc>
          <w:tcPr/>
          <w:p>
            <w:pPr>
              <w:pStyle w:val="Compact"/>
              <w:jc w:val="left"/>
            </w:pPr>
            <w:r>
              <w:t xml:space="preserve">0.582, 0.581 (soft_f1weighted)</w:t>
            </w:r>
          </w:p>
        </w:tc>
        <w:tc>
          <w:tcPr/>
          <w:p>
            <w:pPr>
              <w:pStyle w:val="Compact"/>
              <w:jc w:val="left"/>
            </w:pPr>
            <w:r>
              <w:t xml:space="preserve">0.244</w:t>
            </w:r>
          </w:p>
        </w:tc>
        <w:tc>
          <w:tcPr/>
          <w:p>
            <w:pPr>
              <w:pStyle w:val="Compact"/>
              <w:jc w:val="left"/>
            </w:pPr>
            <w:r>
              <w:t xml:space="preserve">0.273</w:t>
            </w:r>
          </w:p>
        </w:tc>
        <w:tc>
          <w:tcPr/>
          <w:p>
            <w:pPr>
              <w:pStyle w:val="Compact"/>
              <w:jc w:val="left"/>
            </w:pPr>
            <w:r>
              <w:t xml:space="preserve">0.913</w:t>
            </w:r>
          </w:p>
        </w:tc>
        <w:tc>
          <w:tcPr/>
          <w:p>
            <w:pPr>
              <w:pStyle w:val="Compact"/>
              <w:jc w:val="left"/>
            </w:pPr>
            <w:r>
              <w:t xml:space="preserve">No</w:t>
            </w:r>
          </w:p>
        </w:tc>
      </w:tr>
      <w:tr>
        <w:tc>
          <w:tcPr/>
          <w:p>
            <w:pPr>
              <w:pStyle w:val="Compact"/>
              <w:jc w:val="left"/>
            </w:pPr>
            <w:r>
              <w:t xml:space="preserve">Two-stage cascade (72 configurations evaluated)</w:t>
            </w:r>
          </w:p>
        </w:tc>
        <w:tc>
          <w:tcPr/>
          <w:p>
            <w:pPr>
              <w:pStyle w:val="Compact"/>
              <w:jc w:val="left"/>
            </w:pPr>
            <w:r>
              <w:t xml:space="preserve">0.418, 0.809 (ActionHead (action recommender) × Logistic regression + TF-IDF)</w:t>
            </w:r>
          </w:p>
        </w:tc>
        <w:tc>
          <w:tcPr/>
          <w:p>
            <w:pPr>
              <w:pStyle w:val="Compact"/>
              <w:jc w:val="left"/>
            </w:pPr>
            <w:r>
              <w:t xml:space="preserve">0.236</w:t>
            </w:r>
          </w:p>
        </w:tc>
        <w:tc>
          <w:tcPr/>
          <w:p>
            <w:pPr>
              <w:pStyle w:val="Compact"/>
              <w:jc w:val="left"/>
            </w:pPr>
            <w:r>
              <w:t xml:space="preserve">0.418</w:t>
            </w:r>
          </w:p>
        </w:tc>
        <w:tc>
          <w:tcPr/>
          <w:p>
            <w:pPr>
              <w:pStyle w:val="Compact"/>
              <w:jc w:val="left"/>
            </w:pPr>
            <w:r>
              <w:t xml:space="preserve">0.809</w:t>
            </w:r>
          </w:p>
        </w:tc>
        <w:tc>
          <w:tcPr/>
          <w:p>
            <w:pPr>
              <w:pStyle w:val="Compact"/>
              <w:jc w:val="left"/>
            </w:pPr>
            <w:r>
              <w:t xml:space="preserve">No</w:t>
            </w:r>
          </w:p>
        </w:tc>
      </w:tr>
      <w:tr>
        <w:tc>
          <w:tcPr/>
          <w:p>
            <w:pPr>
              <w:pStyle w:val="Compact"/>
              <w:jc w:val="left"/>
            </w:pPr>
            <w:r>
              <w:t xml:space="preserve">Multi-LLM consensus (Claude + Gemini)</w:t>
            </w:r>
          </w:p>
        </w:tc>
        <w:tc>
          <w:tcPr/>
          <w:p>
            <w:pPr>
              <w:pStyle w:val="Compact"/>
              <w:jc w:val="left"/>
            </w:pPr>
            <w:r>
              <w:t xml:space="preserve">0.297, 0.871 (claude_only)</w:t>
            </w:r>
          </w:p>
        </w:tc>
        <w:tc>
          <w:tcPr/>
          <w:p>
            <w:pPr>
              <w:pStyle w:val="Compact"/>
              <w:jc w:val="left"/>
            </w:pPr>
            <w:r>
              <w:t xml:space="preserve">0.217</w:t>
            </w:r>
          </w:p>
        </w:tc>
        <w:tc>
          <w:tcPr/>
          <w:p>
            <w:pPr>
              <w:pStyle w:val="Compact"/>
              <w:jc w:val="left"/>
            </w:pPr>
            <w:r>
              <w:t xml:space="preserve">0.297</w:t>
            </w:r>
          </w:p>
        </w:tc>
        <w:tc>
          <w:tcPr/>
          <w:p>
            <w:pPr>
              <w:pStyle w:val="Compact"/>
              <w:jc w:val="left"/>
            </w:pPr>
            <w:r>
              <w:t xml:space="preserve">0.871</w:t>
            </w:r>
          </w:p>
        </w:tc>
        <w:tc>
          <w:tcPr/>
          <w:p>
            <w:pPr>
              <w:pStyle w:val="Compact"/>
              <w:jc w:val="left"/>
            </w:pPr>
            <w:r>
              <w:t xml:space="preserve">No</w:t>
            </w:r>
          </w:p>
        </w:tc>
      </w:tr>
      <w:tr>
        <w:tc>
          <w:tcPr/>
          <w:p>
            <w:pPr>
              <w:pStyle w:val="Compact"/>
              <w:jc w:val="left"/>
            </w:pPr>
            <w:r>
              <w:t xml:space="preserve">Retrieval-augmented LLM (RAG over 1,280 training examples)</w:t>
            </w:r>
          </w:p>
        </w:tc>
        <w:tc>
          <w:tcPr/>
          <w:p>
            <w:pPr>
              <w:pStyle w:val="Compact"/>
              <w:jc w:val="left"/>
            </w:pPr>
            <w:r>
              <w:t xml:space="preserve">0.218, 0.918</w:t>
            </w:r>
          </w:p>
        </w:tc>
        <w:tc>
          <w:tcPr/>
          <w:p>
            <w:pPr>
              <w:pStyle w:val="Compact"/>
              <w:jc w:val="left"/>
            </w:pPr>
            <w:r>
              <w:t xml:space="preserve">0.205</w:t>
            </w:r>
          </w:p>
        </w:tc>
        <w:tc>
          <w:tcPr/>
          <w:p>
            <w:pPr>
              <w:pStyle w:val="Compact"/>
              <w:jc w:val="left"/>
            </w:pPr>
            <w:r>
              <w:t xml:space="preserve">0.218</w:t>
            </w:r>
          </w:p>
        </w:tc>
        <w:tc>
          <w:tcPr/>
          <w:p>
            <w:pPr>
              <w:pStyle w:val="Compact"/>
              <w:jc w:val="left"/>
            </w:pPr>
            <w:r>
              <w:t xml:space="preserve">0.918</w:t>
            </w:r>
          </w:p>
        </w:tc>
        <w:tc>
          <w:tcPr/>
          <w:p>
            <w:pPr>
              <w:pStyle w:val="Compact"/>
              <w:jc w:val="left"/>
            </w:pPr>
            <w:r>
              <w:t xml:space="preserve">No</w:t>
            </w:r>
          </w:p>
        </w:tc>
      </w:tr>
    </w:tbl>
    <w:p>
      <w:pPr>
        <w:pStyle w:val="BodyText"/>
      </w:pPr>
      <w:r>
        <w:t xml:space="preserve">Caption: For each closing-the-gap strategy evaluated, the best balanced operating point (highest minimum of sensitivity and specificity) and the best-F1 operating point on the real-world test set are reported, with a final-column indicator of whether the strategy attained the autonomous (physician-unassisted) triage benchmark (sensitivity ≥ 0.80 AND specificity ≥ 0.80). Strategies evaluated: single architecture at default threshold (main text Table 2), single architecture at the F1-maximizing threshold (main text Table 4), ensemble of all 13 architectures across 217 configurations, two-stage AND-rule cascade across all 156 configurations (main text Table 5), multi-model consensus rules from the Claude + Gemini predictions, and retrieval-augmented generation over the 1,280-example labeled training corpus applied to each of the three frontier large language model providers. No strategy reached the autonomous (physician-unassisted) triage benchmark; the best balanced operating point across all strategies was the three-of-13 hard-voting ensemble (sensitivity 0.685, specificity 0.575).</w:t>
      </w:r>
      <w:r>
        <w:t xml:space="preserve"> </w:t>
      </w:r>
      <w:r>
        <w:t xml:space="preserve">### Table S9. Operational synthesis of the four-component guardrail composition.</w:t>
      </w:r>
    </w:p>
    <w:tbl>
      <w:tblPr>
        <w:tblStyle w:val="Table"/>
        <w:tblW w:type="pct" w:w="5000"/>
        <w:tblLayout w:type="fixed"/>
        <w:tblLook w:firstRow="1" w:lastRow="0" w:firstColumn="0" w:lastColumn="0" w:noHBand="0" w:noVBand="0" w:val="0020"/>
      </w:tblPr>
      <w:tblGrid>
        <w:gridCol w:w="2214"/>
        <w:gridCol w:w="1021"/>
        <w:gridCol w:w="1021"/>
        <w:gridCol w:w="894"/>
        <w:gridCol w:w="894"/>
        <w:gridCol w:w="936"/>
        <w:gridCol w:w="936"/>
      </w:tblGrid>
      <w:tr>
        <w:trPr>
          <w:tblHeader w:val="on"/>
        </w:trPr>
        <w:tc>
          <w:tcPr/>
          <w:p>
            <w:pPr>
              <w:pStyle w:val="Compact"/>
              <w:jc w:val="left"/>
            </w:pPr>
            <w:r>
              <w:t xml:space="preserve">AMC stack configuration</w:t>
            </w:r>
          </w:p>
        </w:tc>
        <w:tc>
          <w:tcPr/>
          <w:p>
            <w:pPr>
              <w:pStyle w:val="Compact"/>
              <w:jc w:val="left"/>
            </w:pPr>
            <w:r>
              <w:t xml:space="preserve">Sensitivity (95% CI)</w:t>
            </w:r>
          </w:p>
        </w:tc>
        <w:tc>
          <w:tcPr/>
          <w:p>
            <w:pPr>
              <w:pStyle w:val="Compact"/>
              <w:jc w:val="left"/>
            </w:pPr>
            <w:r>
              <w:t xml:space="preserve">Specificity (95% CI)</w:t>
            </w:r>
          </w:p>
        </w:tc>
        <w:tc>
          <w:tcPr/>
          <w:p>
            <w:pPr>
              <w:pStyle w:val="Compact"/>
              <w:jc w:val="left"/>
            </w:pPr>
            <w:r>
              <w:t xml:space="preserve">PPV (95% CI)</w:t>
            </w:r>
          </w:p>
        </w:tc>
        <w:tc>
          <w:tcPr/>
          <w:p>
            <w:pPr>
              <w:pStyle w:val="Compact"/>
              <w:jc w:val="left"/>
            </w:pPr>
            <w:r>
              <w:t xml:space="preserve">F1 (95% CI)</w:t>
            </w:r>
          </w:p>
        </w:tc>
        <w:tc>
          <w:tcPr/>
          <w:p>
            <w:pPr>
              <w:pStyle w:val="Compact"/>
              <w:jc w:val="left"/>
            </w:pPr>
            <w:r>
              <w:t xml:space="preserve">MCC (95% CI)</w:t>
            </w:r>
          </w:p>
        </w:tc>
        <w:tc>
          <w:tcPr/>
          <w:p>
            <w:pPr>
              <w:pStyle w:val="Compact"/>
              <w:jc w:val="left"/>
            </w:pPr>
            <w:r>
              <w:t xml:space="preserve">Reached benchmark?</w:t>
            </w:r>
          </w:p>
        </w:tc>
      </w:tr>
      <w:tr>
        <w:tc>
          <w:tcPr/>
          <w:p>
            <w:pPr>
              <w:pStyle w:val="Compact"/>
              <w:jc w:val="left"/>
            </w:pPr>
            <w:r>
              <w:t xml:space="preserve">Component 1+3 alone (Claude 4.7 + RAG)</w:t>
            </w:r>
          </w:p>
        </w:tc>
        <w:tc>
          <w:tcPr/>
          <w:p>
            <w:pPr>
              <w:pStyle w:val="Compact"/>
              <w:jc w:val="left"/>
            </w:pPr>
            <w:r>
              <w:t xml:space="preserve">0.218 (0.162–0.287)</w:t>
            </w:r>
          </w:p>
        </w:tc>
        <w:tc>
          <w:tcPr/>
          <w:p>
            <w:pPr>
              <w:pStyle w:val="Compact"/>
              <w:jc w:val="left"/>
            </w:pPr>
            <w:r>
              <w:t xml:space="preserve">0.918 (0.904–0.929)</w:t>
            </w:r>
          </w:p>
        </w:tc>
        <w:tc>
          <w:tcPr/>
          <w:p>
            <w:pPr>
              <w:pStyle w:val="Compact"/>
              <w:jc w:val="left"/>
            </w:pPr>
            <w:r>
              <w:t xml:space="preserve">0.193 (0.142–0.255)</w:t>
            </w:r>
          </w:p>
        </w:tc>
        <w:tc>
          <w:tcPr/>
          <w:p>
            <w:pPr>
              <w:pStyle w:val="Compact"/>
              <w:jc w:val="left"/>
            </w:pPr>
            <w:r>
              <w:t xml:space="preserve">0.204 (0.154–0.256)</w:t>
            </w:r>
          </w:p>
        </w:tc>
        <w:tc>
          <w:tcPr/>
          <w:p>
            <w:pPr>
              <w:pStyle w:val="Compact"/>
              <w:jc w:val="left"/>
            </w:pPr>
            <w:r>
              <w:t xml:space="preserve">0.128 (0.073–0.185)</w:t>
            </w:r>
          </w:p>
        </w:tc>
        <w:tc>
          <w:tcPr/>
          <w:p>
            <w:pPr>
              <w:pStyle w:val="Compact"/>
              <w:jc w:val="left"/>
            </w:pPr>
            <w:r>
              <w:t xml:space="preserve">No</w:t>
            </w:r>
          </w:p>
        </w:tc>
      </w:tr>
      <w:tr>
        <w:tc>
          <w:tcPr/>
          <w:p>
            <w:pPr>
              <w:pStyle w:val="Compact"/>
              <w:jc w:val="left"/>
            </w:pPr>
            <w:r>
              <w:t xml:space="preserve">AMC stack (XGBoost+SBERT gate + Claude 4.7 + RAG)</w:t>
            </w:r>
          </w:p>
        </w:tc>
        <w:tc>
          <w:tcPr/>
          <w:p>
            <w:pPr>
              <w:pStyle w:val="Compact"/>
              <w:jc w:val="left"/>
            </w:pPr>
            <w:r>
              <w:t xml:space="preserve">0.115 (0.075–0.173)</w:t>
            </w:r>
          </w:p>
        </w:tc>
        <w:tc>
          <w:tcPr/>
          <w:p>
            <w:pPr>
              <w:pStyle w:val="Compact"/>
              <w:jc w:val="left"/>
            </w:pPr>
            <w:r>
              <w:t xml:space="preserve">0.954 (0.944–0.963)</w:t>
            </w:r>
          </w:p>
        </w:tc>
        <w:tc>
          <w:tcPr/>
          <w:p>
            <w:pPr>
              <w:pStyle w:val="Compact"/>
              <w:jc w:val="left"/>
            </w:pPr>
            <w:r>
              <w:t xml:space="preserve">0.184 (0.121–0.270)</w:t>
            </w:r>
          </w:p>
        </w:tc>
        <w:tc>
          <w:tcPr/>
          <w:p>
            <w:pPr>
              <w:pStyle w:val="Compact"/>
              <w:jc w:val="left"/>
            </w:pPr>
            <w:r>
              <w:t xml:space="preserve">0.142 (0.086–0.201)</w:t>
            </w:r>
          </w:p>
        </w:tc>
        <w:tc>
          <w:tcPr/>
          <w:p>
            <w:pPr>
              <w:pStyle w:val="Compact"/>
              <w:jc w:val="left"/>
            </w:pPr>
            <w:r>
              <w:t xml:space="preserve">0.086 (0.027–0.152)</w:t>
            </w:r>
          </w:p>
        </w:tc>
        <w:tc>
          <w:tcPr/>
          <w:p>
            <w:pPr>
              <w:pStyle w:val="Compact"/>
              <w:jc w:val="left"/>
            </w:pPr>
            <w:r>
              <w:t xml:space="preserve">No</w:t>
            </w:r>
          </w:p>
        </w:tc>
      </w:tr>
      <w:tr>
        <w:tc>
          <w:tcPr/>
          <w:p>
            <w:pPr>
              <w:pStyle w:val="Compact"/>
              <w:jc w:val="left"/>
            </w:pPr>
            <w:r>
              <w:t xml:space="preserve">AMC stack (LogReg+TF-IDF gate + Claude 4.7 + RAG)</w:t>
            </w:r>
          </w:p>
        </w:tc>
        <w:tc>
          <w:tcPr/>
          <w:p>
            <w:pPr>
              <w:pStyle w:val="Compact"/>
              <w:jc w:val="left"/>
            </w:pPr>
            <w:r>
              <w:t xml:space="preserve">0.218 (0.162–0.287)</w:t>
            </w:r>
          </w:p>
        </w:tc>
        <w:tc>
          <w:tcPr/>
          <w:p>
            <w:pPr>
              <w:pStyle w:val="Compact"/>
              <w:jc w:val="left"/>
            </w:pPr>
            <w:r>
              <w:t xml:space="preserve">0.921 (0.908–0.933)</w:t>
            </w:r>
          </w:p>
        </w:tc>
        <w:tc>
          <w:tcPr/>
          <w:p>
            <w:pPr>
              <w:pStyle w:val="Compact"/>
              <w:jc w:val="left"/>
            </w:pPr>
            <w:r>
              <w:t xml:space="preserve">0.200 (0.148–0.264)</w:t>
            </w:r>
          </w:p>
        </w:tc>
        <w:tc>
          <w:tcPr/>
          <w:p>
            <w:pPr>
              <w:pStyle w:val="Compact"/>
              <w:jc w:val="left"/>
            </w:pPr>
            <w:r>
              <w:t xml:space="preserve">0.209 (0.155–0.261)</w:t>
            </w:r>
          </w:p>
        </w:tc>
        <w:tc>
          <w:tcPr/>
          <w:p>
            <w:pPr>
              <w:pStyle w:val="Compact"/>
              <w:jc w:val="left"/>
            </w:pPr>
            <w:r>
              <w:t xml:space="preserve">0.134 (0.078–0.193)</w:t>
            </w:r>
          </w:p>
        </w:tc>
        <w:tc>
          <w:tcPr/>
          <w:p>
            <w:pPr>
              <w:pStyle w:val="Compact"/>
              <w:jc w:val="left"/>
            </w:pPr>
            <w:r>
              <w:t xml:space="preserve">No</w:t>
            </w:r>
          </w:p>
        </w:tc>
      </w:tr>
      <w:tr>
        <w:tc>
          <w:tcPr/>
          <w:p>
            <w:pPr>
              <w:pStyle w:val="Compact"/>
              <w:jc w:val="left"/>
            </w:pPr>
            <w:r>
              <w:t xml:space="preserve">AMC stack (Constellation gate + Claude 4.7 + RAG)</w:t>
            </w:r>
          </w:p>
        </w:tc>
        <w:tc>
          <w:tcPr/>
          <w:p>
            <w:pPr>
              <w:pStyle w:val="Compact"/>
              <w:jc w:val="left"/>
            </w:pPr>
            <w:r>
              <w:t xml:space="preserve">0.024 (0.009–0.061)</w:t>
            </w:r>
          </w:p>
        </w:tc>
        <w:tc>
          <w:tcPr/>
          <w:p>
            <w:pPr>
              <w:pStyle w:val="Compact"/>
              <w:jc w:val="left"/>
            </w:pPr>
            <w:r>
              <w:t xml:space="preserve">0.989 (0.983–0.993)</w:t>
            </w:r>
          </w:p>
        </w:tc>
        <w:tc>
          <w:tcPr/>
          <w:p>
            <w:pPr>
              <w:pStyle w:val="Compact"/>
              <w:jc w:val="left"/>
            </w:pPr>
            <w:r>
              <w:t xml:space="preserve">0.167 (0.067–0.359)</w:t>
            </w:r>
          </w:p>
        </w:tc>
        <w:tc>
          <w:tcPr/>
          <w:p>
            <w:pPr>
              <w:pStyle w:val="Compact"/>
              <w:jc w:val="left"/>
            </w:pPr>
            <w:r>
              <w:t xml:space="preserve">0.042 (0.010–0.086)</w:t>
            </w:r>
          </w:p>
        </w:tc>
        <w:tc>
          <w:tcPr/>
          <w:p>
            <w:pPr>
              <w:pStyle w:val="Compact"/>
              <w:jc w:val="left"/>
            </w:pPr>
            <w:r>
              <w:t xml:space="preserve">0.034 (-0.020–0.097)</w:t>
            </w:r>
          </w:p>
        </w:tc>
        <w:tc>
          <w:tcPr/>
          <w:p>
            <w:pPr>
              <w:pStyle w:val="Compact"/>
              <w:jc w:val="left"/>
            </w:pPr>
            <w:r>
              <w:t xml:space="preserve">No</w:t>
            </w:r>
          </w:p>
        </w:tc>
      </w:tr>
      <w:tr>
        <w:tc>
          <w:tcPr/>
          <w:p>
            <w:pPr>
              <w:pStyle w:val="Compact"/>
              <w:jc w:val="left"/>
            </w:pPr>
            <w:r>
              <w:t xml:space="preserve">AMC stack (CQL reward-opt gate + Claude 4.7 + RAG)</w:t>
            </w:r>
          </w:p>
        </w:tc>
        <w:tc>
          <w:tcPr/>
          <w:p>
            <w:pPr>
              <w:pStyle w:val="Compact"/>
              <w:jc w:val="left"/>
            </w:pPr>
            <w:r>
              <w:t xml:space="preserve">0.218 (0.162–0.287)</w:t>
            </w:r>
          </w:p>
        </w:tc>
        <w:tc>
          <w:tcPr/>
          <w:p>
            <w:pPr>
              <w:pStyle w:val="Compact"/>
              <w:jc w:val="left"/>
            </w:pPr>
            <w:r>
              <w:t xml:space="preserve">0.919 (0.906–0.931)</w:t>
            </w:r>
          </w:p>
        </w:tc>
        <w:tc>
          <w:tcPr/>
          <w:p>
            <w:pPr>
              <w:pStyle w:val="Compact"/>
              <w:jc w:val="left"/>
            </w:pPr>
            <w:r>
              <w:t xml:space="preserve">0.196 (0.145–0.259)</w:t>
            </w:r>
          </w:p>
        </w:tc>
        <w:tc>
          <w:tcPr/>
          <w:p>
            <w:pPr>
              <w:pStyle w:val="Compact"/>
              <w:jc w:val="left"/>
            </w:pPr>
            <w:r>
              <w:t xml:space="preserve">0.206 (0.155–0.258)</w:t>
            </w:r>
          </w:p>
        </w:tc>
        <w:tc>
          <w:tcPr/>
          <w:p>
            <w:pPr>
              <w:pStyle w:val="Compact"/>
              <w:jc w:val="left"/>
            </w:pPr>
            <w:r>
              <w:t xml:space="preserve">0.131 (0.075–0.188)</w:t>
            </w:r>
          </w:p>
        </w:tc>
        <w:tc>
          <w:tcPr/>
          <w:p>
            <w:pPr>
              <w:pStyle w:val="Compact"/>
              <w:jc w:val="left"/>
            </w:pPr>
            <w:r>
              <w:t xml:space="preserve">No</w:t>
            </w:r>
          </w:p>
        </w:tc>
      </w:tr>
      <w:tr>
        <w:tc>
          <w:tcPr/>
          <w:p>
            <w:pPr>
              <w:pStyle w:val="Compact"/>
              <w:jc w:val="left"/>
            </w:pPr>
            <w:r>
              <w:t xml:space="preserve">AMC stack (Guardrails gate + Claude 4.7 + RAG)</w:t>
            </w:r>
          </w:p>
        </w:tc>
        <w:tc>
          <w:tcPr/>
          <w:p>
            <w:pPr>
              <w:pStyle w:val="Compact"/>
              <w:jc w:val="left"/>
            </w:pPr>
            <w:r>
              <w:t xml:space="preserve">0.024 (0.009–0.061)</w:t>
            </w:r>
          </w:p>
        </w:tc>
        <w:tc>
          <w:tcPr/>
          <w:p>
            <w:pPr>
              <w:pStyle w:val="Compact"/>
              <w:jc w:val="left"/>
            </w:pPr>
            <w:r>
              <w:t xml:space="preserve">0.992 (0.987–0.995)</w:t>
            </w:r>
          </w:p>
        </w:tc>
        <w:tc>
          <w:tcPr/>
          <w:p>
            <w:pPr>
              <w:pStyle w:val="Compact"/>
              <w:jc w:val="left"/>
            </w:pPr>
            <w:r>
              <w:t xml:space="preserve">0.210 (0.085–0.433)</w:t>
            </w:r>
          </w:p>
        </w:tc>
        <w:tc>
          <w:tcPr/>
          <w:p>
            <w:pPr>
              <w:pStyle w:val="Compact"/>
              <w:jc w:val="left"/>
            </w:pPr>
            <w:r>
              <w:t xml:space="preserve">0.043 (0.011–0.087)</w:t>
            </w:r>
          </w:p>
        </w:tc>
        <w:tc>
          <w:tcPr/>
          <w:p>
            <w:pPr>
              <w:pStyle w:val="Compact"/>
              <w:jc w:val="left"/>
            </w:pPr>
            <w:r>
              <w:t xml:space="preserve">0.046 (-0.014–0.116)</w:t>
            </w:r>
          </w:p>
        </w:tc>
        <w:tc>
          <w:tcPr/>
          <w:p>
            <w:pPr>
              <w:pStyle w:val="Compact"/>
              <w:jc w:val="left"/>
            </w:pPr>
            <w:r>
              <w:t xml:space="preserve">No</w:t>
            </w:r>
          </w:p>
        </w:tc>
      </w:tr>
      <w:tr>
        <w:tc>
          <w:tcPr/>
          <w:p>
            <w:pPr>
              <w:pStyle w:val="Compact"/>
              <w:jc w:val="left"/>
            </w:pPr>
            <w:r>
              <w:t xml:space="preserve">AMC stack (ActionHead gate + Claude 4.7 + RAG)</w:t>
            </w:r>
          </w:p>
        </w:tc>
        <w:tc>
          <w:tcPr/>
          <w:p>
            <w:pPr>
              <w:pStyle w:val="Compact"/>
              <w:jc w:val="left"/>
            </w:pPr>
            <w:r>
              <w:t xml:space="preserve">0.139 (0.095–0.200)</w:t>
            </w:r>
          </w:p>
        </w:tc>
        <w:tc>
          <w:tcPr/>
          <w:p>
            <w:pPr>
              <w:pStyle w:val="Compact"/>
              <w:jc w:val="left"/>
            </w:pPr>
            <w:r>
              <w:t xml:space="preserve">0.964 (0.954–0.971)</w:t>
            </w:r>
          </w:p>
        </w:tc>
        <w:tc>
          <w:tcPr/>
          <w:p>
            <w:pPr>
              <w:pStyle w:val="Compact"/>
              <w:jc w:val="left"/>
            </w:pPr>
            <w:r>
              <w:t xml:space="preserve">0.256 (0.177–0.354)</w:t>
            </w:r>
          </w:p>
        </w:tc>
        <w:tc>
          <w:tcPr/>
          <w:p>
            <w:pPr>
              <w:pStyle w:val="Compact"/>
              <w:jc w:val="left"/>
            </w:pPr>
            <w:r>
              <w:t xml:space="preserve">0.180 (0.120–0.247)</w:t>
            </w:r>
          </w:p>
        </w:tc>
        <w:tc>
          <w:tcPr/>
          <w:p>
            <w:pPr>
              <w:pStyle w:val="Compact"/>
              <w:jc w:val="left"/>
            </w:pPr>
            <w:r>
              <w:t xml:space="preserve">0.137 (0.072–0.212)</w:t>
            </w:r>
          </w:p>
        </w:tc>
        <w:tc>
          <w:tcPr/>
          <w:p>
            <w:pPr>
              <w:pStyle w:val="Compact"/>
              <w:jc w:val="left"/>
            </w:pPr>
            <w:r>
              <w:t xml:space="preserve">No</w:t>
            </w:r>
          </w:p>
        </w:tc>
      </w:tr>
    </w:tbl>
    <w:p>
      <w:pPr>
        <w:pStyle w:val="BodyText"/>
      </w:pPr>
      <w:r>
        <w:t xml:space="preserve">Caption: Each row reports a configuration of the four-component guardrail composition operationalized in this study as the authors’ synthesis of the assurance-laboratory evaluation framework of Shah et al. [4], the principles articulated in the Coalition for Health AI Blueprint [5], and the organizational community-of-practice governance approach of Sendak et al. and the Health AI Partnership [6]. The component-1+3 pairing (safety-augmented Claude Opus 4.7 + retrieval-augmented generation over the labeled training corpus) is reported alone as a baseline, and is then composed with each of seven evaluated learned-classifier pre-screen gates (component 4) under an AND-rule cascade requiring concordance between the gate and the language model. Component 2 (content-moderation pre-screen) is modeled as a pass-through on the clinically-themed messages of the test set. None of the seven evaluated configurations of the operational synthesis attained sensitivity ≥ 0.80 AND specificity ≥ 0.80 on the real-world test set.</w:t>
      </w:r>
    </w:p>
    <w:bookmarkEnd w:id="38"/>
    <w:bookmarkStart w:id="39" w:name="Xff130979283e0b6a728d7d825228095bea63494"/>
    <w:p>
      <w:pPr>
        <w:pStyle w:val="Heading3"/>
      </w:pPr>
      <w:r>
        <w:t xml:space="preserve">Table S10. Manski-style partial identification bounds on per-architecture overall sensitivity under missing-demographic-group assumptions.</w:t>
      </w:r>
    </w:p>
    <w:tbl>
      <w:tblPr>
        <w:tblStyle w:val="Table"/>
        <w:tblW w:type="pct" w:w="5000"/>
        <w:tblLayout w:type="fixed"/>
        <w:tblLook w:firstRow="1" w:lastRow="0" w:firstColumn="0" w:lastColumn="0" w:noHBand="0" w:noVBand="0" w:val="0020"/>
      </w:tblPr>
      <w:tblGrid>
        <w:gridCol w:w="1033"/>
        <w:gridCol w:w="1377"/>
        <w:gridCol w:w="1377"/>
        <w:gridCol w:w="1377"/>
        <w:gridCol w:w="1377"/>
        <w:gridCol w:w="1377"/>
      </w:tblGrid>
      <w:tr>
        <w:trPr>
          <w:tblHeader w:val="on"/>
        </w:trPr>
        <w:tc>
          <w:tcPr/>
          <w:p>
            <w:pPr>
              <w:pStyle w:val="Compact"/>
            </w:pPr>
            <w:r>
              <w:t xml:space="preserve">Architecture</w:t>
            </w:r>
          </w:p>
        </w:tc>
        <w:tc>
          <w:tcPr/>
          <w:p>
            <w:pPr>
              <w:pStyle w:val="Compact"/>
              <w:jc w:val="right"/>
            </w:pPr>
            <w:r>
              <w:t xml:space="preserve">Observed sens (overall)</w:t>
            </w:r>
          </w:p>
        </w:tc>
        <w:tc>
          <w:tcPr/>
          <w:p>
            <w:pPr>
              <w:pStyle w:val="Compact"/>
              <w:jc w:val="right"/>
            </w:pPr>
            <w:r>
              <w:t xml:space="preserve">Sens in complete-demographic subgroup (TP/N)</w:t>
            </w:r>
          </w:p>
        </w:tc>
        <w:tc>
          <w:tcPr/>
          <w:p>
            <w:pPr>
              <w:pStyle w:val="Compact"/>
              <w:jc w:val="right"/>
            </w:pPr>
            <w:r>
              <w:t xml:space="preserve">Sens in missing-demographic subgroup (TP/N)</w:t>
            </w:r>
          </w:p>
        </w:tc>
        <w:tc>
          <w:tcPr/>
          <w:p>
            <w:pPr>
              <w:pStyle w:val="Compact"/>
              <w:jc w:val="right"/>
            </w:pPr>
            <w:r>
              <w:t xml:space="preserve">Manski conservative bound</w:t>
            </w:r>
          </w:p>
        </w:tc>
        <w:tc>
          <w:tcPr/>
          <w:p>
            <w:pPr>
              <w:pStyle w:val="Compact"/>
              <w:jc w:val="right"/>
            </w:pPr>
            <w:r>
              <w:t xml:space="preserve">Manski optimistic bound</w:t>
            </w:r>
          </w:p>
        </w:tc>
      </w:tr>
      <w:tr>
        <w:tc>
          <w:tcPr/>
          <w:p>
            <w:pPr>
              <w:pStyle w:val="Compact"/>
            </w:pPr>
            <w:r>
              <w:t xml:space="preserve">Logistic regression + TF-IDF</w:t>
            </w:r>
          </w:p>
        </w:tc>
        <w:tc>
          <w:tcPr/>
          <w:p>
            <w:pPr>
              <w:pStyle w:val="Compact"/>
              <w:jc w:val="right"/>
            </w:pPr>
            <w:r>
              <w:t xml:space="preserve">0.970</w:t>
            </w:r>
          </w:p>
        </w:tc>
        <w:tc>
          <w:tcPr/>
          <w:p>
            <w:pPr>
              <w:pStyle w:val="Compact"/>
              <w:jc w:val="right"/>
            </w:pPr>
            <w:r>
              <w:t xml:space="preserve">0.969 (125/129)</w:t>
            </w:r>
          </w:p>
        </w:tc>
        <w:tc>
          <w:tcPr/>
          <w:p>
            <w:pPr>
              <w:pStyle w:val="Compact"/>
              <w:jc w:val="right"/>
            </w:pPr>
            <w:r>
              <w:t xml:space="preserve">0.972 (35/36)</w:t>
            </w:r>
          </w:p>
        </w:tc>
        <w:tc>
          <w:tcPr/>
          <w:p>
            <w:pPr>
              <w:pStyle w:val="Compact"/>
              <w:jc w:val="right"/>
            </w:pPr>
            <w:r>
              <w:t xml:space="preserve">0.758</w:t>
            </w:r>
          </w:p>
        </w:tc>
        <w:tc>
          <w:tcPr/>
          <w:p>
            <w:pPr>
              <w:pStyle w:val="Compact"/>
              <w:jc w:val="right"/>
            </w:pPr>
            <w:r>
              <w:t xml:space="preserve">0.976</w:t>
            </w:r>
          </w:p>
        </w:tc>
      </w:tr>
      <w:tr>
        <w:tc>
          <w:tcPr/>
          <w:p>
            <w:pPr>
              <w:pStyle w:val="Compact"/>
            </w:pPr>
            <w:r>
              <w:t xml:space="preserve">CQL controller (reward-optimized)</w:t>
            </w:r>
          </w:p>
        </w:tc>
        <w:tc>
          <w:tcPr/>
          <w:p>
            <w:pPr>
              <w:pStyle w:val="Compact"/>
              <w:jc w:val="right"/>
            </w:pPr>
            <w:r>
              <w:t xml:space="preserve">0.933</w:t>
            </w:r>
          </w:p>
        </w:tc>
        <w:tc>
          <w:tcPr/>
          <w:p>
            <w:pPr>
              <w:pStyle w:val="Compact"/>
              <w:jc w:val="right"/>
            </w:pPr>
            <w:r>
              <w:t xml:space="preserve">0.930 (120/129)</w:t>
            </w:r>
          </w:p>
        </w:tc>
        <w:tc>
          <w:tcPr/>
          <w:p>
            <w:pPr>
              <w:pStyle w:val="Compact"/>
              <w:jc w:val="right"/>
            </w:pPr>
            <w:r>
              <w:t xml:space="preserve">0.944 (34/36)</w:t>
            </w:r>
          </w:p>
        </w:tc>
        <w:tc>
          <w:tcPr/>
          <w:p>
            <w:pPr>
              <w:pStyle w:val="Compact"/>
              <w:jc w:val="right"/>
            </w:pPr>
            <w:r>
              <w:t xml:space="preserve">0.727</w:t>
            </w:r>
          </w:p>
        </w:tc>
        <w:tc>
          <w:tcPr/>
          <w:p>
            <w:pPr>
              <w:pStyle w:val="Compact"/>
              <w:jc w:val="right"/>
            </w:pPr>
            <w:r>
              <w:t xml:space="preserve">0.945</w:t>
            </w:r>
          </w:p>
        </w:tc>
      </w:tr>
      <w:tr>
        <w:tc>
          <w:tcPr/>
          <w:p>
            <w:pPr>
              <w:pStyle w:val="Compact"/>
            </w:pPr>
            <w:r>
              <w:t xml:space="preserve">XGBoost + sentence-BERT</w:t>
            </w:r>
          </w:p>
        </w:tc>
        <w:tc>
          <w:tcPr/>
          <w:p>
            <w:pPr>
              <w:pStyle w:val="Compact"/>
              <w:jc w:val="right"/>
            </w:pPr>
            <w:r>
              <w:t xml:space="preserve">0.424</w:t>
            </w:r>
          </w:p>
        </w:tc>
        <w:tc>
          <w:tcPr/>
          <w:p>
            <w:pPr>
              <w:pStyle w:val="Compact"/>
              <w:jc w:val="right"/>
            </w:pPr>
            <w:r>
              <w:t xml:space="preserve">0.426 (55/129)</w:t>
            </w:r>
          </w:p>
        </w:tc>
        <w:tc>
          <w:tcPr/>
          <w:p>
            <w:pPr>
              <w:pStyle w:val="Compact"/>
              <w:jc w:val="right"/>
            </w:pPr>
            <w:r>
              <w:t xml:space="preserve">0.417 (15/36)</w:t>
            </w:r>
          </w:p>
        </w:tc>
        <w:tc>
          <w:tcPr/>
          <w:p>
            <w:pPr>
              <w:pStyle w:val="Compact"/>
              <w:jc w:val="right"/>
            </w:pPr>
            <w:r>
              <w:t xml:space="preserve">0.333</w:t>
            </w:r>
          </w:p>
        </w:tc>
        <w:tc>
          <w:tcPr/>
          <w:p>
            <w:pPr>
              <w:pStyle w:val="Compact"/>
              <w:jc w:val="right"/>
            </w:pPr>
            <w:r>
              <w:t xml:space="preserve">0.552</w:t>
            </w:r>
          </w:p>
        </w:tc>
      </w:tr>
      <w:tr>
        <w:tc>
          <w:tcPr/>
          <w:p>
            <w:pPr>
              <w:pStyle w:val="Compact"/>
            </w:pPr>
            <w:r>
              <w:t xml:space="preserve">ActionHead (action recommender)</w:t>
            </w:r>
          </w:p>
        </w:tc>
        <w:tc>
          <w:tcPr/>
          <w:p>
            <w:pPr>
              <w:pStyle w:val="Compact"/>
              <w:jc w:val="right"/>
            </w:pPr>
            <w:r>
              <w:t xml:space="preserve">0.424</w:t>
            </w:r>
          </w:p>
        </w:tc>
        <w:tc>
          <w:tcPr/>
          <w:p>
            <w:pPr>
              <w:pStyle w:val="Compact"/>
              <w:jc w:val="right"/>
            </w:pPr>
            <w:r>
              <w:t xml:space="preserve">0.403 (52/129)</w:t>
            </w:r>
          </w:p>
        </w:tc>
        <w:tc>
          <w:tcPr/>
          <w:p>
            <w:pPr>
              <w:pStyle w:val="Compact"/>
              <w:jc w:val="right"/>
            </w:pPr>
            <w:r>
              <w:t xml:space="preserve">0.500 (18/36)</w:t>
            </w:r>
          </w:p>
        </w:tc>
        <w:tc>
          <w:tcPr/>
          <w:p>
            <w:pPr>
              <w:pStyle w:val="Compact"/>
              <w:jc w:val="right"/>
            </w:pPr>
            <w:r>
              <w:t xml:space="preserve">0.315</w:t>
            </w:r>
          </w:p>
        </w:tc>
        <w:tc>
          <w:tcPr/>
          <w:p>
            <w:pPr>
              <w:pStyle w:val="Compact"/>
              <w:jc w:val="right"/>
            </w:pPr>
            <w:r>
              <w:t xml:space="preserve">0.533</w:t>
            </w:r>
          </w:p>
        </w:tc>
      </w:tr>
      <w:tr>
        <w:tc>
          <w:tcPr/>
          <w:p>
            <w:pPr>
              <w:pStyle w:val="Compact"/>
            </w:pPr>
            <w:r>
              <w:t xml:space="preserve">Claude Opus 4.7 (safety-augmented)</w:t>
            </w:r>
          </w:p>
        </w:tc>
        <w:tc>
          <w:tcPr/>
          <w:p>
            <w:pPr>
              <w:pStyle w:val="Compact"/>
              <w:jc w:val="right"/>
            </w:pPr>
            <w:r>
              <w:t xml:space="preserve">0.297</w:t>
            </w:r>
          </w:p>
        </w:tc>
        <w:tc>
          <w:tcPr/>
          <w:p>
            <w:pPr>
              <w:pStyle w:val="Compact"/>
              <w:jc w:val="right"/>
            </w:pPr>
            <w:r>
              <w:t xml:space="preserve">0.264 (34/129)</w:t>
            </w:r>
          </w:p>
        </w:tc>
        <w:tc>
          <w:tcPr/>
          <w:p>
            <w:pPr>
              <w:pStyle w:val="Compact"/>
              <w:jc w:val="right"/>
            </w:pPr>
            <w:r>
              <w:t xml:space="preserve">0.417 (15/36)</w:t>
            </w:r>
          </w:p>
        </w:tc>
        <w:tc>
          <w:tcPr/>
          <w:p>
            <w:pPr>
              <w:pStyle w:val="Compact"/>
              <w:jc w:val="right"/>
            </w:pPr>
            <w:r>
              <w:t xml:space="preserve">0.206</w:t>
            </w:r>
          </w:p>
        </w:tc>
        <w:tc>
          <w:tcPr/>
          <w:p>
            <w:pPr>
              <w:pStyle w:val="Compact"/>
              <w:jc w:val="right"/>
            </w:pPr>
            <w:r>
              <w:t xml:space="preserve">0.424</w:t>
            </w:r>
          </w:p>
        </w:tc>
      </w:tr>
      <w:tr>
        <w:tc>
          <w:tcPr/>
          <w:p>
            <w:pPr>
              <w:pStyle w:val="Compact"/>
            </w:pPr>
            <w:r>
              <w:t xml:space="preserve">Claude Opus 4.7 + retrieval-augmented generation</w:t>
            </w:r>
          </w:p>
        </w:tc>
        <w:tc>
          <w:tcPr/>
          <w:p>
            <w:pPr>
              <w:pStyle w:val="Compact"/>
              <w:jc w:val="right"/>
            </w:pPr>
            <w:r>
              <w:t xml:space="preserve">0.218</w:t>
            </w:r>
          </w:p>
        </w:tc>
        <w:tc>
          <w:tcPr/>
          <w:p>
            <w:pPr>
              <w:pStyle w:val="Compact"/>
              <w:jc w:val="right"/>
            </w:pPr>
            <w:r>
              <w:t xml:space="preserve">0.202 (26/129)</w:t>
            </w:r>
          </w:p>
        </w:tc>
        <w:tc>
          <w:tcPr/>
          <w:p>
            <w:pPr>
              <w:pStyle w:val="Compact"/>
              <w:jc w:val="right"/>
            </w:pPr>
            <w:r>
              <w:t xml:space="preserve">0.278 (10/36)</w:t>
            </w:r>
          </w:p>
        </w:tc>
        <w:tc>
          <w:tcPr/>
          <w:p>
            <w:pPr>
              <w:pStyle w:val="Compact"/>
              <w:jc w:val="right"/>
            </w:pPr>
            <w:r>
              <w:t xml:space="preserve">0.158</w:t>
            </w:r>
          </w:p>
        </w:tc>
        <w:tc>
          <w:tcPr/>
          <w:p>
            <w:pPr>
              <w:pStyle w:val="Compact"/>
              <w:jc w:val="right"/>
            </w:pPr>
            <w:r>
              <w:t xml:space="preserve">0.376</w:t>
            </w:r>
          </w:p>
        </w:tc>
      </w:tr>
      <w:tr>
        <w:tc>
          <w:tcPr/>
          <w:p>
            <w:pPr>
              <w:pStyle w:val="Compact"/>
            </w:pPr>
            <w:r>
              <w:t xml:space="preserve">Constellation architecture</w:t>
            </w:r>
          </w:p>
        </w:tc>
        <w:tc>
          <w:tcPr/>
          <w:p>
            <w:pPr>
              <w:pStyle w:val="Compact"/>
              <w:jc w:val="right"/>
            </w:pPr>
            <w:r>
              <w:t xml:space="preserve">0.067</w:t>
            </w:r>
          </w:p>
        </w:tc>
        <w:tc>
          <w:tcPr/>
          <w:p>
            <w:pPr>
              <w:pStyle w:val="Compact"/>
              <w:jc w:val="right"/>
            </w:pPr>
            <w:r>
              <w:t xml:space="preserve">0.078 (10/129)</w:t>
            </w:r>
          </w:p>
        </w:tc>
        <w:tc>
          <w:tcPr/>
          <w:p>
            <w:pPr>
              <w:pStyle w:val="Compact"/>
              <w:jc w:val="right"/>
            </w:pPr>
            <w:r>
              <w:t xml:space="preserve">0.028 (1/36)</w:t>
            </w:r>
          </w:p>
        </w:tc>
        <w:tc>
          <w:tcPr/>
          <w:p>
            <w:pPr>
              <w:pStyle w:val="Compact"/>
              <w:jc w:val="right"/>
            </w:pPr>
            <w:r>
              <w:t xml:space="preserve">0.061</w:t>
            </w:r>
          </w:p>
        </w:tc>
        <w:tc>
          <w:tcPr/>
          <w:p>
            <w:pPr>
              <w:pStyle w:val="Compact"/>
              <w:jc w:val="right"/>
            </w:pPr>
            <w:r>
              <w:t xml:space="preserve">0.279</w:t>
            </w:r>
          </w:p>
        </w:tc>
      </w:tr>
      <w:tr>
        <w:tc>
          <w:tcPr/>
          <w:p>
            <w:pPr>
              <w:pStyle w:val="Compact"/>
            </w:pPr>
            <w:r>
              <w:t xml:space="preserve">Rule-based guardrails</w:t>
            </w:r>
          </w:p>
        </w:tc>
        <w:tc>
          <w:tcPr/>
          <w:p>
            <w:pPr>
              <w:pStyle w:val="Compact"/>
              <w:jc w:val="right"/>
            </w:pPr>
            <w:r>
              <w:t xml:space="preserve">0.061</w:t>
            </w:r>
          </w:p>
        </w:tc>
        <w:tc>
          <w:tcPr/>
          <w:p>
            <w:pPr>
              <w:pStyle w:val="Compact"/>
              <w:jc w:val="right"/>
            </w:pPr>
            <w:r>
              <w:t xml:space="preserve">0.054 (7/129)</w:t>
            </w:r>
          </w:p>
        </w:tc>
        <w:tc>
          <w:tcPr/>
          <w:p>
            <w:pPr>
              <w:pStyle w:val="Compact"/>
              <w:jc w:val="right"/>
            </w:pPr>
            <w:r>
              <w:t xml:space="preserve">0.083 (3/36)</w:t>
            </w:r>
          </w:p>
        </w:tc>
        <w:tc>
          <w:tcPr/>
          <w:p>
            <w:pPr>
              <w:pStyle w:val="Compact"/>
              <w:jc w:val="right"/>
            </w:pPr>
            <w:r>
              <w:t xml:space="preserve">0.042</w:t>
            </w:r>
          </w:p>
        </w:tc>
        <w:tc>
          <w:tcPr/>
          <w:p>
            <w:pPr>
              <w:pStyle w:val="Compact"/>
              <w:jc w:val="right"/>
            </w:pPr>
            <w:r>
              <w:t xml:space="preserve">0.261</w:t>
            </w:r>
          </w:p>
        </w:tc>
      </w:tr>
      <w:tr>
        <w:tc>
          <w:tcPr/>
          <w:p>
            <w:pPr>
              <w:pStyle w:val="Compact"/>
            </w:pPr>
            <w:r>
              <w:t xml:space="preserve">CQL controller (sensitivity-optimized)</w:t>
            </w:r>
          </w:p>
        </w:tc>
        <w:tc>
          <w:tcPr/>
          <w:p>
            <w:pPr>
              <w:pStyle w:val="Compact"/>
              <w:jc w:val="right"/>
            </w:pPr>
            <w:r>
              <w:t xml:space="preserve">0.024</w:t>
            </w:r>
          </w:p>
        </w:tc>
        <w:tc>
          <w:tcPr/>
          <w:p>
            <w:pPr>
              <w:pStyle w:val="Compact"/>
              <w:jc w:val="right"/>
            </w:pPr>
            <w:r>
              <w:t xml:space="preserve">0.031 (4/129)</w:t>
            </w:r>
          </w:p>
        </w:tc>
        <w:tc>
          <w:tcPr/>
          <w:p>
            <w:pPr>
              <w:pStyle w:val="Compact"/>
              <w:jc w:val="right"/>
            </w:pPr>
            <w:r>
              <w:t xml:space="preserve">0.000 (0/36)</w:t>
            </w:r>
          </w:p>
        </w:tc>
        <w:tc>
          <w:tcPr/>
          <w:p>
            <w:pPr>
              <w:pStyle w:val="Compact"/>
              <w:jc w:val="right"/>
            </w:pPr>
            <w:r>
              <w:t xml:space="preserve">0.024</w:t>
            </w:r>
          </w:p>
        </w:tc>
        <w:tc>
          <w:tcPr/>
          <w:p>
            <w:pPr>
              <w:pStyle w:val="Compact"/>
              <w:jc w:val="right"/>
            </w:pPr>
            <w:r>
              <w:t xml:space="preserve">0.242</w:t>
            </w:r>
          </w:p>
        </w:tc>
      </w:tr>
      <w:tr>
        <w:tc>
          <w:tcPr/>
          <w:p>
            <w:pPr>
              <w:pStyle w:val="Compact"/>
            </w:pPr>
            <w:r>
              <w:t xml:space="preserve">Gemini 3.1 Pro Preview (safety-augmented)</w:t>
            </w:r>
          </w:p>
        </w:tc>
        <w:tc>
          <w:tcPr/>
          <w:p>
            <w:pPr>
              <w:pStyle w:val="Compact"/>
              <w:jc w:val="right"/>
            </w:pPr>
            <w:r>
              <w:t xml:space="preserve">0.018</w:t>
            </w:r>
          </w:p>
        </w:tc>
        <w:tc>
          <w:tcPr/>
          <w:p>
            <w:pPr>
              <w:pStyle w:val="Compact"/>
              <w:jc w:val="right"/>
            </w:pPr>
            <w:r>
              <w:t xml:space="preserve">0.008 (1/129)</w:t>
            </w:r>
          </w:p>
        </w:tc>
        <w:tc>
          <w:tcPr/>
          <w:p>
            <w:pPr>
              <w:pStyle w:val="Compact"/>
              <w:jc w:val="right"/>
            </w:pPr>
            <w:r>
              <w:t xml:space="preserve">0.056 (2/36)</w:t>
            </w:r>
          </w:p>
        </w:tc>
        <w:tc>
          <w:tcPr/>
          <w:p>
            <w:pPr>
              <w:pStyle w:val="Compact"/>
              <w:jc w:val="right"/>
            </w:pPr>
            <w:r>
              <w:t xml:space="preserve">0.006</w:t>
            </w:r>
          </w:p>
        </w:tc>
        <w:tc>
          <w:tcPr/>
          <w:p>
            <w:pPr>
              <w:pStyle w:val="Compact"/>
              <w:jc w:val="right"/>
            </w:pPr>
            <w:r>
              <w:t xml:space="preserve">0.224</w:t>
            </w:r>
          </w:p>
        </w:tc>
      </w:tr>
    </w:tbl>
    <w:p>
      <w:pPr>
        <w:pStyle w:val="BodyText"/>
      </w:pPr>
      <w:r>
        <w:t xml:space="preserve">Caption: For each architecture, observed overall sensitivity on the 2000-message held-out real-world test set and the Manski-style partial identification bounds on overall sensitivity if every hazard in the missing-demographic subgroup (n=36 of 165 total hazards) were correctly detected (optimistic bound) or none of them were detected (conservative bound). For high-recall architectures (Logistic regression, CQL controller reward-optimized) the observed sensitivity sits near the upper edge of the bound interval, indicating that the architecture detects most hazards in both demographic-complete and demographic-missing subgroups. For lower-recall architectures the bound interval is wide and indicates that the observed sensitivity is sensitive to assumptions about the missing-demographic subgroup. The missing-demographic subgroup has lower observed hazard prevalence (6.28% versus 9.04% in the complete-demographic subgroup); this prevalence difference indicates that missingness is not independent of the outcome and supports treating the equity-stratified analyses as descriptive rather than confirmatory.</w:t>
      </w:r>
    </w:p>
    <w:bookmarkEnd w:id="39"/>
    <w:bookmarkEnd w:id="40"/>
    <w:bookmarkStart w:id="41" w:name="f.-references"/>
    <w:p>
      <w:pPr>
        <w:pStyle w:val="Heading2"/>
      </w:pPr>
      <w:r>
        <w:t xml:space="preserve">F. References</w:t>
      </w:r>
    </w:p>
    <w:p>
      <w:pPr>
        <w:pStyle w:val="FirstParagraph"/>
      </w:pPr>
      <w:r>
        <w:t xml:space="preserve">This appendix uses its own sequentially-numbered reference list. The same primary literature is cross-referenced in the main manuscript reference list under different numbers.</w:t>
      </w:r>
    </w:p>
    <w:p>
      <w:pPr>
        <w:numPr>
          <w:ilvl w:val="0"/>
          <w:numId w:val="1002"/>
        </w:numPr>
      </w:pPr>
      <w:r>
        <w:t xml:space="preserve">Kumar A, Zhou A, Tucker G, Levine S. Conservative Q-learning for offline reinforcement learning. Adv Neural Inf Process Syst. 2020;33:1179-1191.</w:t>
      </w:r>
    </w:p>
    <w:p>
      <w:pPr>
        <w:numPr>
          <w:ilvl w:val="0"/>
          <w:numId w:val="1002"/>
        </w:numPr>
      </w:pPr>
      <w:r>
        <w:t xml:space="preserve">Collins GS, Moons KGM, Dhiman P, Riley RD, Beam AL, Van Calster B, Ghassemi M, Liu X, Reitsma JB, van Smeden M, et al. TRIPOD+AI statement: updated guidance for reporting clinical prediction models that use regression or machine learning methods. BMJ. 2024;385:e078378. doi:10.1136/bmj-2023-078378. PMID: 38626948.</w:t>
      </w:r>
    </w:p>
    <w:p>
      <w:pPr>
        <w:numPr>
          <w:ilvl w:val="0"/>
          <w:numId w:val="1002"/>
        </w:numPr>
      </w:pPr>
      <w:r>
        <w:t xml:space="preserve">Vasey B, Nagendran M, Campbell B, Clifton DA, Collins GS, Denaxas S, Denniston AK, Faes L, Geerts B, Ibrahim M, et al. Reporting guideline for the early stage clinical evaluation of decision support systems driven by artificial intelligence: DECIDE-AI. BMJ. 2022;377:e070904. doi:10.1136/bmj-2022-070904. PMID: 35584845.</w:t>
      </w:r>
    </w:p>
    <w:p>
      <w:pPr>
        <w:numPr>
          <w:ilvl w:val="0"/>
          <w:numId w:val="1002"/>
        </w:numPr>
      </w:pPr>
      <w:r>
        <w:t xml:space="preserve">Shah NH, Halamka JD, Saria S, Pencina M, Tazbaz T, Tripathi M, Callahan A, Hildahl H, Anderson B. A nationwide network of health AI assurance laboratories. JAMA. 2024;331(3):245-249. doi:10.1001/jama.2023.26930. PMID: 38117493.</w:t>
      </w:r>
    </w:p>
    <w:p>
      <w:pPr>
        <w:numPr>
          <w:ilvl w:val="0"/>
          <w:numId w:val="1002"/>
        </w:numPr>
      </w:pPr>
      <w:r>
        <w:t xml:space="preserve">Coalition for Health AI. Blueprint for Trustworthy AI Implementation Guidance and Assurance for Healthcare. April 2023. Accessed 2026-05-20. https://chai.org/chai-unveils-blueprint-for-trustworthy-ai-in-healthcare/</w:t>
      </w:r>
    </w:p>
    <w:p>
      <w:pPr>
        <w:numPr>
          <w:ilvl w:val="0"/>
          <w:numId w:val="1002"/>
        </w:numPr>
      </w:pPr>
      <w:r>
        <w:t xml:space="preserve">Sendak MP, Kim JY, Hasan A, Ratliff W, Lifson MA, Patel M, Raji ID, Sehgal A, Shaw K, Tobey D, Valladares A, Vidal DE, Balu S. Empowering US healthcare delivery organizations: Cultivating a community of practice to harness AI and advance health equity. PLOS Digit Health. 2024;3(6):e0000513. doi:10.1371/journal.pdig.0000513. PMID: 38843115.</w:t>
      </w:r>
    </w:p>
    <w:p>
      <w:pPr>
        <w:numPr>
          <w:ilvl w:val="0"/>
          <w:numId w:val="1002"/>
        </w:numPr>
      </w:pPr>
      <w:r>
        <w:t xml:space="preserve">Mukherjee S, Gamble P, Ausin MS, Kant N, Aggarwal K, Manjunath N, Datta S, Liu Z, Ding J, Busacca S, et al. Polaris: a safety-focused LLM constellation architecture for healthcare. arXiv 2403.13313; deposited 2024-03-20. [Preprint; not yet peer-reviewed at time of submission.]</w:t>
      </w:r>
    </w:p>
    <w:p>
      <w:pPr>
        <w:numPr>
          <w:ilvl w:val="0"/>
          <w:numId w:val="1002"/>
        </w:numPr>
      </w:pPr>
      <w:r>
        <w:t xml:space="preserve">Reimers N, Gurevych I. Sentence-BERT: sentence embeddings using siamese BERT-networks. Proc 2019 Conf Empir Methods Nat Lang Process. 2019:3982-3992. doi:10.18653/v1/D19-1410.</w:t>
      </w:r>
    </w:p>
    <w:p>
      <w:pPr>
        <w:numPr>
          <w:ilvl w:val="0"/>
          <w:numId w:val="1002"/>
        </w:numPr>
      </w:pPr>
      <w:r>
        <w:t xml:space="preserve">Guo C, Pleiss G, Sun Y, Weinberger KQ. On calibration of modern neural networks. Proc 34th Int Conf Mach Learn. 2017;70:1321-1330.</w:t>
      </w:r>
    </w:p>
    <w:p>
      <w:pPr>
        <w:numPr>
          <w:ilvl w:val="0"/>
          <w:numId w:val="1002"/>
        </w:numPr>
      </w:pPr>
      <w:r>
        <w:t xml:space="preserve">Lewis P, Perez E, Piktus A, Petroni F, Karpukhin V, Goyal N, Küttler H, Lewis M, Yih WT, Rocktäschel T, et al. Retrieval-augmented generation for knowledge-intensive NLP tasks. Adv Neural Inf Process Syst. 2020;33:9459-9474.</w:t>
      </w:r>
    </w:p>
    <w:p>
      <w:pPr>
        <w:numPr>
          <w:ilvl w:val="0"/>
          <w:numId w:val="1002"/>
        </w:numPr>
      </w:pPr>
      <w:r>
        <w:t xml:space="preserve">Gilboy N, Tanabe P, Travers D, Rosenau AM. Emergency Severity Index (ESI): A Triage Tool for Emergency Department Care, Version 4. Implementation Handbook 2012 Edition. AHRQ Publication No. 12-0014. Rockville, MD: Agency for Healthcare Research and Quality; November 2011.</w:t>
      </w:r>
    </w:p>
    <w:p>
      <w:pPr>
        <w:numPr>
          <w:ilvl w:val="0"/>
          <w:numId w:val="1002"/>
        </w:numPr>
      </w:pPr>
      <w:r>
        <w:t xml:space="preserve">Mnih V, Kavukcuoglu K, Silver D, Rusu AA, Veness J, Bellemare MG, et al. Human-level control through deep reinforcement learning. Nature. 2015;518(7540):529-533. doi:10.1038/nature14236. PMID: 25719670.</w:t>
      </w:r>
    </w:p>
    <w:p>
      <w:pPr>
        <w:numPr>
          <w:ilvl w:val="0"/>
          <w:numId w:val="1002"/>
        </w:numPr>
      </w:pPr>
      <w:r>
        <w:t xml:space="preserve">Bates DW, Kuperman GJ, Wang S, Gandhi T, Kittler A, Volk L, Spurr C, Khorasani R, Tanasijevic M, Middleton B. Ten commandments for effective clinical decision support: making the practice of evidence-based medicine a reality. J Am Med Inform Assoc. 2003;10(6):523-530. doi:10.1197/jamia.M1370. PMID: 12925543.</w:t>
      </w:r>
    </w:p>
    <w:p>
      <w:pPr>
        <w:numPr>
          <w:ilvl w:val="0"/>
          <w:numId w:val="1002"/>
        </w:numPr>
      </w:pPr>
      <w:r>
        <w:t xml:space="preserve">Kojima T, Gu SS, Reid M, Matsuo Y, Iwasawa Y. Large language models are zero-shot reasoners. Adv Neural Inf Process Syst. 2022;35:22199-22213.</w:t>
      </w:r>
    </w:p>
    <w:p>
      <w:pPr>
        <w:numPr>
          <w:ilvl w:val="0"/>
          <w:numId w:val="1002"/>
        </w:numPr>
      </w:pPr>
      <w:r>
        <w:t xml:space="preserve">Karpukhin V, Oğuz B, Min S, Lewis P, Wu L, Edunov S, Chen D, Yih W. Dense passage retrieval for open-domain question answering. Proc 2020 Conf Empir Methods Nat Lang Process (EMNLP). 2020:6769-6781. doi:10.18653/v1/2020.emnlp-main.550.</w:t>
      </w:r>
    </w:p>
    <w:p>
      <w:pPr>
        <w:numPr>
          <w:ilvl w:val="0"/>
          <w:numId w:val="1002"/>
        </w:numPr>
      </w:pPr>
      <w:r>
        <w:t xml:space="preserve">Johnson J, Douze M, Jégou H. Billion-scale similarity search with GPUs. IEEE Trans Big Data. 2021;7(3):535-547. doi:10.1109/TBDATA.2019.2921572.</w:t>
      </w:r>
    </w:p>
    <w:bookmarkEnd w:id="41"/>
    <w:bookmarkEnd w:id="4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Math" w:cs="Cambria Math" w:eastAsia="Cambria Math" w:hAnsi="Cambria Math"/>
        <w:sz w:val="24"/>
        <w:szCs w:val="24"/>
        <w:lang w:bidi="ar-SA" w:eastAsia="zh-CN" w:val="en-US"/>
      </w:rPr>
    </w:rPrDefault>
    <w:pPrDefault>
      <w:pPr>
        <w:spacing w:after="200" w:line="276" w:lineRule="auto"/>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line="276" w:lineRule="auto"/>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line="276" w:lineRule="auto"/>
    </w:pPr>
  </w:style>
  <w:style w:styleId="Title" w:type="paragraph">
    <w:name w:val="Title"/>
    <w:basedOn w:val="Normal"/>
    <w:next w:val="BodyText"/>
    <w:link w:val="TitleChar"/>
    <w:uiPriority w:val="10"/>
    <w:qFormat/>
    <w:rsid w:val="00A10FD9"/>
    <w:pPr>
      <w:spacing w:after="80" w:line="276" w:lineRule="auto"/>
      <w:contextualSpacing/>
      <w:jc w:val="center"/>
    </w:pPr>
    <w:rPr>
      <w:rFonts w:ascii="Cambria Math" w:cs="Cambria Math" w:eastAsia="Cambria Math" w:hAnsi="Cambria Math"/>
      <w:sz w:val="56"/>
      <w:szCs w:val="56"/>
    </w:rPr>
  </w:style>
  <w:style w:customStyle="1" w:styleId="TitleChar" w:type="character">
    <w:name w:val="Title Char"/>
    <w:basedOn w:val="DefaultParagraphFont"/>
    <w:link w:val="Title"/>
    <w:uiPriority w:val="10"/>
    <w:rsid w:val="00A10FD9"/>
    <w:rPr>
      <w:rFonts w:ascii="Cambria Math" w:cs="Cambria Math" w:eastAsia="Cambria Math" w:hAnsi="Cambria Math"/>
      <w:sz w:val="56"/>
      <w:szCs w:val="56"/>
    </w:rPr>
  </w:style>
  <w:style w:styleId="Subtitle" w:type="paragraph">
    <w:name w:val="Subtitle"/>
    <w:basedOn w:val="Title"/>
    <w:next w:val="BodyText"/>
    <w:link w:val="SubtitleChar"/>
    <w:uiPriority w:val="11"/>
    <w:qFormat/>
    <w:rsid w:val="00A10FD9"/>
    <w:pPr>
      <w:numPr>
        <w:ilvl w:val="1"/>
      </w:numPr>
    </w:pPr>
    <w:rPr>
      <w:rFonts w:ascii="Cambria Math" w:cs="Cambria Math" w:eastAsia="Cambria Math" w:hAnsi="Cambria Math"/>
      <w:spacing w:line="276" w:lineRule="auto" w:val="15"/>
      <w:sz w:val="28"/>
      <w:szCs w:val="28"/>
    </w:rPr>
  </w:style>
  <w:style w:customStyle="1" w:styleId="SubtitleChar" w:type="character">
    <w:name w:val="Subtitle Char"/>
    <w:basedOn w:val="DefaultParagraphFont"/>
    <w:link w:val="Subtitle"/>
    <w:uiPriority w:val="11"/>
    <w:rsid w:val="00A10FD9"/>
    <w:rPr>
      <w:rFonts w:ascii="Cambria Math" w:cs="Cambria Math" w:eastAsia="Cambria Math" w:hAnsi="Cambria Math"/>
      <w:color w:val="000000"/>
      <w:spacing w:line="276" w:lineRule="auto"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line="276" w:lineRule="auto"/>
      <w:jc w:val="center"/>
    </w:pPr>
    <w:rPr>
      <w:b/>
      <w:sz w:val="20"/>
      <w:szCs w:val="20"/>
    </w:rPr>
  </w:style>
  <w:style w:customStyle="1" w:styleId="Abstract" w:type="paragraph">
    <w:name w:val="Abstract"/>
    <w:basedOn w:val="Normal"/>
    <w:next w:val="BodyText"/>
    <w:qFormat/>
    <w:pPr>
      <w:keepNext/>
      <w:keepLines/>
      <w:spacing w:after="300" w:before="100" w:line="276" w:lineRule="auto"/>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line="276" w:lineRule="auto"/>
      <w:outlineLvl w:val="0"/>
    </w:pPr>
    <w:rPr>
      <w:rFonts w:ascii="Cambria Math" w:cs="Cambria Math" w:eastAsia="Cambria Math" w:hAnsi="Cambria Math"/>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line="276" w:lineRule="auto"/>
      <w:outlineLvl w:val="1"/>
    </w:pPr>
    <w:rPr>
      <w:rFonts w:ascii="Cambria Math" w:cs="Cambria Math" w:eastAsia="Cambria Math" w:hAnsi="Cambria Math"/>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line="276" w:lineRule="auto"/>
      <w:outlineLvl w:val="2"/>
    </w:pPr>
    <w:rPr>
      <w:rFonts w:ascii="Cambria Math" w:cs="Cambria Math" w:eastAsia="Cambria Math" w:hAnsi="Cambria Math"/>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line="276" w:lineRule="auto"/>
      <w:outlineLvl w:val="3"/>
    </w:pPr>
    <w:rPr>
      <w:rFonts w:ascii="Cambria Math" w:cs="Cambria Math" w:eastAsia="Cambria Math" w:hAnsi="Cambria Math"/>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line="276" w:lineRule="auto"/>
      <w:outlineLvl w:val="4"/>
    </w:pPr>
    <w:rPr>
      <w:rFonts w:ascii="Cambria Math" w:cs="Cambria Math" w:eastAsia="Cambria Math" w:hAnsi="Cambria Math"/>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line="276" w:lineRule="auto"/>
      <w:outlineLvl w:val="5"/>
    </w:pPr>
    <w:rPr>
      <w:rFonts w:ascii="Cambria Math" w:cs="Cambria Math" w:eastAsia="Cambria Math" w:hAnsi="Cambria Math"/>
      <w:i/>
      <w:iCs/>
      <w:color w:val="000000"/>
    </w:rPr>
  </w:style>
  <w:style w:styleId="Heading7" w:type="paragraph">
    <w:name w:val="heading 7"/>
    <w:basedOn w:val="Normal"/>
    <w:next w:val="BodyText"/>
    <w:link w:val="Heading7Char"/>
    <w:uiPriority w:val="9"/>
    <w:semiHidden/>
    <w:unhideWhenUsed/>
    <w:qFormat/>
    <w:rsid w:val="00A10FD9"/>
    <w:pPr>
      <w:keepNext/>
      <w:keepLines/>
      <w:spacing w:after="0" w:before="40" w:line="276" w:lineRule="auto"/>
      <w:outlineLvl w:val="6"/>
    </w:pPr>
    <w:rPr>
      <w:rFonts w:ascii="Cambria Math" w:cs="Cambria Math" w:eastAsia="Cambria Math" w:hAnsi="Cambria Math"/>
      <w:color w:val="000000"/>
    </w:rPr>
  </w:style>
  <w:style w:styleId="Heading8" w:type="paragraph">
    <w:name w:val="heading 8"/>
    <w:basedOn w:val="Normal"/>
    <w:next w:val="BodyText"/>
    <w:link w:val="Heading8Char"/>
    <w:uiPriority w:val="9"/>
    <w:semiHidden/>
    <w:unhideWhenUsed/>
    <w:qFormat/>
    <w:rsid w:val="00A10FD9"/>
    <w:pPr>
      <w:keepNext/>
      <w:keepLines/>
      <w:spacing w:after="0" w:line="276" w:lineRule="auto"/>
      <w:outlineLvl w:val="7"/>
    </w:pPr>
    <w:rPr>
      <w:rFonts w:ascii="Cambria Math" w:cs="Cambria Math" w:eastAsia="Cambria Math" w:hAnsi="Cambria Math"/>
      <w:i/>
      <w:iCs/>
      <w:color w:val="000000"/>
    </w:rPr>
  </w:style>
  <w:style w:styleId="Heading9" w:type="paragraph">
    <w:name w:val="heading 9"/>
    <w:basedOn w:val="Normal"/>
    <w:next w:val="BodyText"/>
    <w:link w:val="Heading9Char"/>
    <w:uiPriority w:val="9"/>
    <w:semiHidden/>
    <w:unhideWhenUsed/>
    <w:qFormat/>
    <w:rsid w:val="00A10FD9"/>
    <w:pPr>
      <w:keepNext/>
      <w:keepLines/>
      <w:spacing w:after="0" w:line="276" w:lineRule="auto"/>
      <w:outlineLvl w:val="8"/>
    </w:pPr>
    <w:rPr>
      <w:rFonts w:ascii="Cambria Math" w:cs="Cambria Math" w:eastAsia="Cambria Math" w:hAnsi="Cambria Math"/>
      <w:color w:val="000000"/>
    </w:rPr>
  </w:style>
  <w:style w:customStyle="1" w:styleId="Heading1Char" w:type="character">
    <w:name w:val="Heading 1 Char"/>
    <w:basedOn w:val="DefaultParagraphFont"/>
    <w:link w:val="Heading1"/>
    <w:uiPriority w:val="9"/>
    <w:rsid w:val="00A10FD9"/>
    <w:rPr>
      <w:rFonts w:ascii="Cambria Math" w:cs="Cambria Math" w:eastAsia="Cambria Math" w:hAnsi="Cambria Math"/>
      <w:color w:val="000000"/>
      <w:sz w:val="40"/>
      <w:szCs w:val="40"/>
    </w:rPr>
  </w:style>
  <w:style w:customStyle="1" w:styleId="Heading2Char" w:type="character">
    <w:name w:val="Heading 2 Char"/>
    <w:basedOn w:val="DefaultParagraphFont"/>
    <w:link w:val="Heading2"/>
    <w:uiPriority w:val="9"/>
    <w:semiHidden/>
    <w:rsid w:val="00A10FD9"/>
    <w:rPr>
      <w:rFonts w:ascii="Cambria Math" w:cs="Cambria Math" w:eastAsia="Cambria Math" w:hAnsi="Cambria Math"/>
      <w:color w:val="000000"/>
      <w:sz w:val="32"/>
      <w:szCs w:val="32"/>
    </w:rPr>
  </w:style>
  <w:style w:customStyle="1" w:styleId="Heading3Char" w:type="character">
    <w:name w:val="Heading 3 Char"/>
    <w:basedOn w:val="DefaultParagraphFont"/>
    <w:link w:val="Heading3"/>
    <w:uiPriority w:val="9"/>
    <w:semiHidden/>
    <w:rsid w:val="00A10FD9"/>
    <w:rPr>
      <w:rFonts w:ascii="Cambria Math" w:cs="Cambria Math" w:eastAsia="Cambria Math" w:hAnsi="Cambria Math"/>
      <w:color w:val="000000"/>
      <w:sz w:val="28"/>
      <w:szCs w:val="28"/>
    </w:rPr>
  </w:style>
  <w:style w:customStyle="1" w:styleId="Heading4Char" w:type="character">
    <w:name w:val="Heading 4 Char"/>
    <w:basedOn w:val="DefaultParagraphFont"/>
    <w:link w:val="Heading4"/>
    <w:uiPriority w:val="9"/>
    <w:semiHidden/>
    <w:rsid w:val="00A10FD9"/>
    <w:rPr>
      <w:rFonts w:ascii="Cambria Math" w:cs="Cambria Math" w:eastAsia="Cambria Math" w:hAnsi="Cambria Math"/>
      <w:i/>
      <w:iCs/>
      <w:color w:val="000000"/>
    </w:rPr>
  </w:style>
  <w:style w:customStyle="1" w:styleId="Heading5Char" w:type="character">
    <w:name w:val="Heading 5 Char"/>
    <w:basedOn w:val="DefaultParagraphFont"/>
    <w:link w:val="Heading5"/>
    <w:uiPriority w:val="9"/>
    <w:semiHidden/>
    <w:rsid w:val="00A10FD9"/>
    <w:rPr>
      <w:rFonts w:ascii="Cambria Math" w:cs="Cambria Math" w:eastAsia="Cambria Math" w:hAnsi="Cambria Math"/>
      <w:color w:val="000000"/>
    </w:rPr>
  </w:style>
  <w:style w:customStyle="1" w:styleId="Heading6Char" w:type="character">
    <w:name w:val="Heading 6 Char"/>
    <w:basedOn w:val="DefaultParagraphFont"/>
    <w:link w:val="Heading6"/>
    <w:uiPriority w:val="9"/>
    <w:semiHidden/>
    <w:rsid w:val="00A10FD9"/>
    <w:rPr>
      <w:rFonts w:ascii="Cambria Math" w:cs="Cambria Math" w:eastAsia="Cambria Math" w:hAnsi="Cambria Math"/>
      <w:i/>
      <w:iCs/>
      <w:color w:val="000000"/>
    </w:rPr>
  </w:style>
  <w:style w:customStyle="1" w:styleId="Heading7Char" w:type="character">
    <w:name w:val="Heading 7 Char"/>
    <w:basedOn w:val="DefaultParagraphFont"/>
    <w:link w:val="Heading7"/>
    <w:uiPriority w:val="9"/>
    <w:semiHidden/>
    <w:rsid w:val="00A10FD9"/>
    <w:rPr>
      <w:rFonts w:ascii="Cambria Math" w:cs="Cambria Math" w:eastAsia="Cambria Math" w:hAnsi="Cambria Math"/>
      <w:color w:val="000000"/>
    </w:rPr>
  </w:style>
  <w:style w:customStyle="1" w:styleId="Heading8Char" w:type="character">
    <w:name w:val="Heading 8 Char"/>
    <w:basedOn w:val="DefaultParagraphFont"/>
    <w:link w:val="Heading8"/>
    <w:uiPriority w:val="9"/>
    <w:semiHidden/>
    <w:rsid w:val="00A10FD9"/>
    <w:rPr>
      <w:rFonts w:ascii="Cambria Math" w:cs="Cambria Math" w:eastAsia="Cambria Math" w:hAnsi="Cambria Math"/>
      <w:i/>
      <w:iCs/>
      <w:color w:val="000000"/>
    </w:rPr>
  </w:style>
  <w:style w:customStyle="1" w:styleId="Heading9Char" w:type="character">
    <w:name w:val="Heading 9 Char"/>
    <w:basedOn w:val="DefaultParagraphFont"/>
    <w:link w:val="Heading9"/>
    <w:uiPriority w:val="9"/>
    <w:semiHidden/>
    <w:rsid w:val="00A10FD9"/>
    <w:rPr>
      <w:rFonts w:ascii="Cambria Math" w:cs="Cambria Math" w:eastAsia="Cambria Math" w:hAnsi="Cambria Math"/>
      <w:color w:val="000000"/>
    </w:rPr>
  </w:style>
  <w:style w:styleId="BlockText" w:type="paragraph">
    <w:name w:val="Block Text"/>
    <w:basedOn w:val="BodyText"/>
    <w:next w:val="BodyText"/>
    <w:uiPriority w:val="9"/>
    <w:unhideWhenUsed/>
    <w:qFormat/>
    <w:pPr>
      <w:spacing w:after="100" w:before="100" w:line="276" w:lineRule="auto"/>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line="276" w:lineRule="auto"/>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line="276" w:lineRule="auto"/>
    </w:pPr>
    <w:rPr>
      <w:b/>
    </w:rPr>
  </w:style>
  <w:style w:customStyle="1" w:styleId="Definition" w:type="paragraph">
    <w:name w:val="Definition"/>
    <w:basedOn w:val="Normal"/>
  </w:style>
  <w:style w:styleId="Caption" w:type="paragraph">
    <w:name w:val="Caption"/>
    <w:basedOn w:val="Normal"/>
    <w:link w:val="BodyTextChar"/>
    <w:pPr>
      <w:spacing w:after="120" w:before="0" w:line="276" w:lineRule="auto"/>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ambria Math" w:cs="Cambria Math" w:eastAsia="Cambria Math" w:hAnsi="Cambria Math"/>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00000"/>
    </w:rPr>
  </w:style>
  <w:style w:styleId="TOCHeading" w:type="paragraph">
    <w:name w:val="TOC Heading"/>
    <w:basedOn w:val="Heading1"/>
    <w:next w:val="BodyText"/>
    <w:uiPriority w:val="39"/>
    <w:unhideWhenUsed/>
    <w:qFormat/>
    <w:pPr>
      <w:spacing w:before="240" w:line="276" w:lineRule="auto"/>
      <w:outlineLvl w:val="9"/>
    </w:pPr>
    <w:rPr>
      <w:rFonts w:ascii="Cambria Math" w:cs="Cambria Math" w:eastAsia="Cambria Math" w:hAnsi="Cambria Math"/>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26" Target="media/rId26.png" /><Relationship Type="http://schemas.openxmlformats.org/officeDocument/2006/relationships/image" Id="rId30" Target="media/rId30.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2026-05-22T20:04:09Z</dcterms:created>
  <dcterms:modified xsi:type="dcterms:W3CDTF">2026-05-22T20:04:09Z</dcterms:modified>
</cp:coreProperties>
</file>

<file path=docProps/custom.xml><?xml version="1.0" encoding="utf-8"?>
<Properties xmlns="http://schemas.openxmlformats.org/officeDocument/2006/custom-properties" xmlns:vt="http://schemas.openxmlformats.org/officeDocument/2006/docPropsVTypes"/>
</file>