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B6969">
      <w:pPr>
        <w:pStyle w:val="2"/>
        <w:rPr>
          <w:color w:val="auto"/>
        </w:rPr>
      </w:pPr>
      <w:r>
        <w:rPr>
          <w:color w:val="auto"/>
        </w:rPr>
        <w:t>Supplementary Table 1. State Rurality Classification Assignments</w:t>
      </w:r>
    </w:p>
    <w:p w14:paraId="12B18E42">
      <w:r>
        <w:t>Rurality classifications were adapted from USDA Rural-Urban Continuum Codes and U.S. Census urban-rural definitions and applied at the state level for ecological comparison purpos</w:t>
      </w:r>
      <w:bookmarkStart w:id="0" w:name="_GoBack"/>
      <w:bookmarkEnd w:id="0"/>
      <w:r>
        <w:t>es.</w:t>
      </w:r>
    </w:p>
    <w:tbl>
      <w:tblPr>
        <w:tblStyle w:val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12A55BEE">
        <w:tc>
          <w:tcPr>
            <w:tcW w:w="4320" w:type="dxa"/>
          </w:tcPr>
          <w:p w14:paraId="53A7A0BC">
            <w:pPr>
              <w:spacing w:after="0" w:line="240" w:lineRule="auto"/>
            </w:pPr>
            <w:r>
              <w:t>Classification</w:t>
            </w:r>
          </w:p>
        </w:tc>
        <w:tc>
          <w:tcPr>
            <w:tcW w:w="4320" w:type="dxa"/>
          </w:tcPr>
          <w:p w14:paraId="4E7B36CF">
            <w:pPr>
              <w:spacing w:after="0" w:line="240" w:lineRule="auto"/>
            </w:pPr>
            <w:r>
              <w:t>Jurisdictions</w:t>
            </w:r>
          </w:p>
        </w:tc>
      </w:tr>
      <w:tr w14:paraId="4AAE6487">
        <w:tc>
          <w:tcPr>
            <w:tcW w:w="4320" w:type="dxa"/>
          </w:tcPr>
          <w:p w14:paraId="53D963FA">
            <w:pPr>
              <w:spacing w:after="0" w:line="240" w:lineRule="auto"/>
            </w:pPr>
            <w:r>
              <w:t>Rural</w:t>
            </w:r>
          </w:p>
        </w:tc>
        <w:tc>
          <w:tcPr>
            <w:tcW w:w="4320" w:type="dxa"/>
          </w:tcPr>
          <w:p w14:paraId="0CDBC3C1">
            <w:pPr>
              <w:spacing w:after="0" w:line="240" w:lineRule="auto"/>
            </w:pPr>
            <w:r>
              <w:t>Alabama, Arkansas, Kentucky, Maine, Mississippi, Montana, New Hampshire, South Dakota, Vermont, West Virginia</w:t>
            </w:r>
          </w:p>
        </w:tc>
      </w:tr>
      <w:tr w14:paraId="2D053C5B">
        <w:tc>
          <w:tcPr>
            <w:tcW w:w="4320" w:type="dxa"/>
          </w:tcPr>
          <w:p w14:paraId="0E280E2A">
            <w:pPr>
              <w:spacing w:after="0" w:line="240" w:lineRule="auto"/>
            </w:pPr>
            <w:r>
              <w:t>Urban</w:t>
            </w:r>
          </w:p>
        </w:tc>
        <w:tc>
          <w:tcPr>
            <w:tcW w:w="4320" w:type="dxa"/>
          </w:tcPr>
          <w:p w14:paraId="6E2582ED">
            <w:pPr>
              <w:spacing w:after="0" w:line="240" w:lineRule="auto"/>
            </w:pPr>
            <w:r>
              <w:t>Arizona, California, Colorado, Connecticut, Delaware, District of Columbia, Florida, Hawaii, Maryland, Massachusetts, Nevada, New Jersey, New York, Oregon, Rhode Island, Texas, Utah, Washington</w:t>
            </w:r>
          </w:p>
        </w:tc>
      </w:tr>
      <w:tr w14:paraId="6260386A">
        <w:tc>
          <w:tcPr>
            <w:tcW w:w="4320" w:type="dxa"/>
          </w:tcPr>
          <w:p w14:paraId="7905616C">
            <w:pPr>
              <w:spacing w:after="0" w:line="240" w:lineRule="auto"/>
            </w:pPr>
            <w:r>
              <w:t>Mixed</w:t>
            </w:r>
          </w:p>
        </w:tc>
        <w:tc>
          <w:tcPr>
            <w:tcW w:w="4320" w:type="dxa"/>
          </w:tcPr>
          <w:p w14:paraId="392BCC68">
            <w:pPr>
              <w:spacing w:after="0" w:line="240" w:lineRule="auto"/>
            </w:pPr>
            <w:r>
              <w:t>Alaska, Georgia, Idaho, Illinois, Indiana, Iowa, Kansas, Louisiana, Michigan, Minnesota, Missouri, Nebraska, New Mexico, North Carolina, North Dakota, Ohio, Oklahoma, Pennsylvania, South Carolina, Tennessee, Virginia, Wisconsin, Wyoming</w:t>
            </w:r>
          </w:p>
        </w:tc>
      </w:tr>
    </w:tbl>
    <w:p w14:paraId="132121C4">
      <w:r>
        <w:t>Note: Counts correspond to the classifications shown in Figure 3 (Rural n=10, Urban n=18 including the District of Columbia, Mixed n=23).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D7FFD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Office_12.1.25880.25880_F1E327BC-269C-435d-A152-05C5408002CA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2013-12-23T18:15:00Z</dcterms:created>
  <dc:creator>python-docx</dc:creator>
  <dc:description>generated by python-docx</dc:description>
  <cp:lastModifiedBy>AdaoraMoka</cp:lastModifiedBy>
  <dcterms:modified xsi:type="dcterms:W3CDTF">2026-05-22T18:47:34Z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1033-12.1.25880.25880</vt:lpwstr>
  </property>
  <property fmtid="{D5CDD505-2E9C-101B-9397-08002B2CF9AE}" pid="3" name="ICV">
    <vt:lpwstr>E95E9B45F37B3DBF06DD106A5F5CA5E1_42</vt:lpwstr>
  </property>
</Properties>
</file>