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5E78E" w14:textId="77777777" w:rsidR="00E06067" w:rsidRPr="001B315F" w:rsidRDefault="00E06067" w:rsidP="00E06067">
      <w:pPr>
        <w:spacing w:line="360" w:lineRule="auto"/>
        <w:jc w:val="both"/>
        <w:rPr>
          <w:rFonts w:ascii="Arial" w:hAnsi="Arial" w:cs="Arial"/>
          <w:b/>
          <w:sz w:val="24"/>
          <w:szCs w:val="24"/>
          <w:lang w:val="en-US"/>
        </w:rPr>
      </w:pPr>
      <w:r w:rsidRPr="001B315F">
        <w:rPr>
          <w:rFonts w:ascii="Arial" w:hAnsi="Arial" w:cs="Arial"/>
          <w:b/>
          <w:sz w:val="24"/>
          <w:szCs w:val="24"/>
          <w:lang w:val="en-US"/>
        </w:rPr>
        <w:t>Supporting Information</w:t>
      </w:r>
    </w:p>
    <w:p w14:paraId="4DC0F87E" w14:textId="77777777" w:rsidR="00E06067" w:rsidRPr="00EE5EF5" w:rsidRDefault="00E06067" w:rsidP="00E06067">
      <w:pPr>
        <w:spacing w:line="360" w:lineRule="auto"/>
        <w:jc w:val="both"/>
        <w:rPr>
          <w:rFonts w:ascii="Arial" w:hAnsi="Arial" w:cs="Arial"/>
          <w:bCs/>
          <w:sz w:val="24"/>
          <w:szCs w:val="24"/>
        </w:rPr>
      </w:pPr>
      <w:r w:rsidRPr="00EE5EF5">
        <w:rPr>
          <w:rFonts w:ascii="Arial" w:hAnsi="Arial" w:cs="Arial"/>
          <w:bCs/>
          <w:noProof/>
          <w:sz w:val="24"/>
          <w:szCs w:val="24"/>
        </w:rPr>
        <w:drawing>
          <wp:inline distT="0" distB="0" distL="0" distR="0" wp14:anchorId="3818202B" wp14:editId="1096D56F">
            <wp:extent cx="6120130" cy="3926205"/>
            <wp:effectExtent l="0" t="0" r="0" b="0"/>
            <wp:docPr id="112490000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926205"/>
                    </a:xfrm>
                    <a:prstGeom prst="rect">
                      <a:avLst/>
                    </a:prstGeom>
                    <a:noFill/>
                    <a:ln>
                      <a:noFill/>
                    </a:ln>
                  </pic:spPr>
                </pic:pic>
              </a:graphicData>
            </a:graphic>
          </wp:inline>
        </w:drawing>
      </w:r>
    </w:p>
    <w:p w14:paraId="7F09E5AB" w14:textId="77777777" w:rsidR="00E06067" w:rsidRDefault="00E06067" w:rsidP="00E06067">
      <w:pPr>
        <w:spacing w:line="360" w:lineRule="auto"/>
        <w:jc w:val="both"/>
        <w:rPr>
          <w:rFonts w:ascii="Arial" w:hAnsi="Arial" w:cs="Arial"/>
          <w:bCs/>
          <w:sz w:val="24"/>
          <w:szCs w:val="24"/>
          <w:lang w:val="en-US"/>
        </w:rPr>
      </w:pPr>
      <w:r w:rsidRPr="001B315F">
        <w:rPr>
          <w:rFonts w:ascii="Arial" w:hAnsi="Arial" w:cs="Arial"/>
          <w:bCs/>
          <w:sz w:val="24"/>
          <w:szCs w:val="24"/>
          <w:lang w:val="en-US"/>
        </w:rPr>
        <w:t>S1</w:t>
      </w:r>
      <w:r>
        <w:rPr>
          <w:rFonts w:ascii="Arial" w:hAnsi="Arial" w:cs="Arial"/>
          <w:bCs/>
          <w:sz w:val="24"/>
          <w:szCs w:val="24"/>
          <w:lang w:val="en-US"/>
        </w:rPr>
        <w:t xml:space="preserve"> Fig.1.</w:t>
      </w:r>
      <w:r w:rsidRPr="008A1706">
        <w:rPr>
          <w:lang w:val="en-US"/>
        </w:rPr>
        <w:t xml:space="preserve"> </w:t>
      </w:r>
      <w:r w:rsidRPr="008A1706">
        <w:rPr>
          <w:rFonts w:ascii="Arial" w:hAnsi="Arial" w:cs="Arial"/>
          <w:bCs/>
          <w:sz w:val="24"/>
          <w:szCs w:val="24"/>
          <w:lang w:val="en-US"/>
        </w:rPr>
        <w:t>Representation of a map of Brazil showing the bird collection points and their respective samplings.</w:t>
      </w:r>
      <w:r>
        <w:rPr>
          <w:rFonts w:ascii="Arial" w:hAnsi="Arial" w:cs="Arial"/>
          <w:bCs/>
          <w:sz w:val="24"/>
          <w:szCs w:val="24"/>
          <w:lang w:val="en-US"/>
        </w:rPr>
        <w:t xml:space="preserve"> </w:t>
      </w:r>
    </w:p>
    <w:p w14:paraId="39BCC08A" w14:textId="77777777" w:rsidR="00E06067" w:rsidRDefault="00E06067" w:rsidP="00E06067">
      <w:pPr>
        <w:spacing w:line="360" w:lineRule="auto"/>
        <w:jc w:val="both"/>
        <w:rPr>
          <w:rFonts w:ascii="Arial" w:hAnsi="Arial" w:cs="Arial"/>
          <w:bCs/>
          <w:sz w:val="24"/>
          <w:szCs w:val="24"/>
          <w:lang w:val="en-US"/>
        </w:rPr>
      </w:pPr>
    </w:p>
    <w:p w14:paraId="19334BDF" w14:textId="77777777" w:rsidR="00E06067" w:rsidRDefault="00E06067" w:rsidP="00E06067">
      <w:pPr>
        <w:spacing w:line="360" w:lineRule="auto"/>
        <w:jc w:val="both"/>
        <w:rPr>
          <w:rFonts w:ascii="Arial" w:hAnsi="Arial" w:cs="Arial"/>
          <w:bCs/>
          <w:sz w:val="24"/>
          <w:szCs w:val="24"/>
          <w:lang w:val="en-US"/>
        </w:rPr>
      </w:pPr>
    </w:p>
    <w:p w14:paraId="5FF26667" w14:textId="77777777" w:rsidR="00E06067" w:rsidRPr="00A3727B" w:rsidRDefault="00E06067" w:rsidP="00E06067">
      <w:pPr>
        <w:spacing w:line="360" w:lineRule="auto"/>
        <w:jc w:val="both"/>
        <w:rPr>
          <w:rFonts w:ascii="Arial" w:hAnsi="Arial" w:cs="Arial"/>
          <w:bCs/>
          <w:sz w:val="24"/>
          <w:szCs w:val="24"/>
        </w:rPr>
      </w:pPr>
      <w:r w:rsidRPr="00A3727B">
        <w:rPr>
          <w:rFonts w:ascii="Arial" w:hAnsi="Arial" w:cs="Arial"/>
          <w:bCs/>
          <w:noProof/>
          <w:sz w:val="24"/>
          <w:szCs w:val="24"/>
        </w:rPr>
        <w:lastRenderedPageBreak/>
        <w:drawing>
          <wp:inline distT="0" distB="0" distL="0" distR="0" wp14:anchorId="0586C591" wp14:editId="1E55EEAB">
            <wp:extent cx="6120130" cy="4590415"/>
            <wp:effectExtent l="0" t="0" r="0" b="635"/>
            <wp:docPr id="206809490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714F66B1" w14:textId="77777777" w:rsidR="00E06067" w:rsidRPr="001B315F" w:rsidRDefault="00E06067" w:rsidP="00E06067">
      <w:pPr>
        <w:spacing w:line="360" w:lineRule="auto"/>
        <w:jc w:val="both"/>
        <w:rPr>
          <w:rFonts w:ascii="Arial" w:hAnsi="Arial" w:cs="Arial"/>
          <w:bCs/>
          <w:sz w:val="24"/>
          <w:szCs w:val="24"/>
          <w:lang w:val="en-US"/>
        </w:rPr>
      </w:pPr>
      <w:r>
        <w:rPr>
          <w:rFonts w:ascii="Arial" w:hAnsi="Arial" w:cs="Arial"/>
          <w:bCs/>
          <w:sz w:val="24"/>
          <w:szCs w:val="24"/>
          <w:lang w:val="en-US"/>
        </w:rPr>
        <w:t xml:space="preserve">S2 </w:t>
      </w:r>
      <w:r w:rsidRPr="001B315F">
        <w:rPr>
          <w:rFonts w:ascii="Arial" w:hAnsi="Arial" w:cs="Arial"/>
          <w:bCs/>
          <w:sz w:val="24"/>
          <w:szCs w:val="24"/>
          <w:lang w:val="en-US"/>
        </w:rPr>
        <w:t>Fig.</w:t>
      </w:r>
      <w:r>
        <w:rPr>
          <w:rFonts w:ascii="Arial" w:hAnsi="Arial" w:cs="Arial"/>
          <w:bCs/>
          <w:sz w:val="24"/>
          <w:szCs w:val="24"/>
          <w:lang w:val="en-US"/>
        </w:rPr>
        <w:t>2</w:t>
      </w:r>
      <w:r w:rsidRPr="001B315F">
        <w:rPr>
          <w:rFonts w:ascii="Arial" w:hAnsi="Arial" w:cs="Arial"/>
          <w:bCs/>
          <w:sz w:val="24"/>
          <w:szCs w:val="24"/>
          <w:lang w:val="en-US"/>
        </w:rPr>
        <w:t>. Seabirds. Seabirds brown noddy (</w:t>
      </w:r>
      <w:r w:rsidRPr="001B315F">
        <w:rPr>
          <w:rFonts w:ascii="Arial" w:hAnsi="Arial" w:cs="Arial"/>
          <w:bCs/>
          <w:i/>
          <w:iCs/>
          <w:sz w:val="24"/>
          <w:szCs w:val="24"/>
          <w:lang w:val="en-US"/>
        </w:rPr>
        <w:t>Anous stolidus</w:t>
      </w:r>
      <w:r w:rsidRPr="001B315F">
        <w:rPr>
          <w:rFonts w:ascii="Arial" w:hAnsi="Arial" w:cs="Arial"/>
          <w:bCs/>
          <w:sz w:val="24"/>
          <w:szCs w:val="24"/>
          <w:lang w:val="en-US"/>
        </w:rPr>
        <w:t>) and Sooty tern (</w:t>
      </w:r>
      <w:r w:rsidRPr="001B315F">
        <w:rPr>
          <w:rFonts w:ascii="Arial" w:hAnsi="Arial" w:cs="Arial"/>
          <w:bCs/>
          <w:i/>
          <w:iCs/>
          <w:sz w:val="24"/>
          <w:szCs w:val="24"/>
          <w:lang w:val="en-US"/>
        </w:rPr>
        <w:t>Onychopriom fuscatus</w:t>
      </w:r>
      <w:r w:rsidRPr="001B315F">
        <w:rPr>
          <w:rFonts w:ascii="Arial" w:hAnsi="Arial" w:cs="Arial"/>
          <w:bCs/>
          <w:sz w:val="24"/>
          <w:szCs w:val="24"/>
          <w:lang w:val="en-US"/>
        </w:rPr>
        <w:t>) in REBIO Atoll of Rocks.</w:t>
      </w:r>
    </w:p>
    <w:p w14:paraId="0E237603" w14:textId="77777777" w:rsidR="00E06067" w:rsidRDefault="00E06067" w:rsidP="00E06067">
      <w:pPr>
        <w:spacing w:line="360" w:lineRule="auto"/>
        <w:jc w:val="both"/>
        <w:rPr>
          <w:rFonts w:ascii="Arial" w:hAnsi="Arial" w:cs="Arial"/>
          <w:bCs/>
          <w:sz w:val="24"/>
          <w:szCs w:val="24"/>
          <w:lang w:val="en-US"/>
        </w:rPr>
      </w:pPr>
    </w:p>
    <w:p w14:paraId="0172FF2D" w14:textId="77777777" w:rsidR="00E06067" w:rsidRPr="00A3727B" w:rsidRDefault="00E06067" w:rsidP="00E06067">
      <w:pPr>
        <w:spacing w:line="360" w:lineRule="auto"/>
        <w:jc w:val="both"/>
        <w:rPr>
          <w:rFonts w:ascii="Arial" w:hAnsi="Arial" w:cs="Arial"/>
          <w:bCs/>
          <w:sz w:val="24"/>
          <w:szCs w:val="24"/>
        </w:rPr>
      </w:pPr>
      <w:r w:rsidRPr="00A3727B">
        <w:rPr>
          <w:rFonts w:ascii="Arial" w:hAnsi="Arial" w:cs="Arial"/>
          <w:bCs/>
          <w:noProof/>
          <w:sz w:val="24"/>
          <w:szCs w:val="24"/>
        </w:rPr>
        <w:drawing>
          <wp:inline distT="0" distB="0" distL="0" distR="0" wp14:anchorId="61B1E94A" wp14:editId="014FAD8E">
            <wp:extent cx="6120130" cy="3062605"/>
            <wp:effectExtent l="0" t="0" r="0" b="4445"/>
            <wp:docPr id="31232140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062605"/>
                    </a:xfrm>
                    <a:prstGeom prst="rect">
                      <a:avLst/>
                    </a:prstGeom>
                    <a:noFill/>
                    <a:ln>
                      <a:noFill/>
                    </a:ln>
                  </pic:spPr>
                </pic:pic>
              </a:graphicData>
            </a:graphic>
          </wp:inline>
        </w:drawing>
      </w:r>
    </w:p>
    <w:p w14:paraId="33B409A9" w14:textId="77777777" w:rsidR="00E06067" w:rsidRPr="001B315F" w:rsidRDefault="00E06067" w:rsidP="00E06067">
      <w:pPr>
        <w:spacing w:line="360" w:lineRule="auto"/>
        <w:jc w:val="both"/>
        <w:rPr>
          <w:rFonts w:ascii="Arial" w:hAnsi="Arial" w:cs="Arial"/>
          <w:bCs/>
          <w:sz w:val="24"/>
          <w:szCs w:val="24"/>
          <w:lang w:val="en-US"/>
        </w:rPr>
      </w:pPr>
    </w:p>
    <w:p w14:paraId="1CE36799" w14:textId="77777777" w:rsidR="00E06067" w:rsidRPr="001B315F" w:rsidRDefault="00E06067" w:rsidP="00E06067">
      <w:pPr>
        <w:spacing w:line="360" w:lineRule="auto"/>
        <w:jc w:val="both"/>
        <w:rPr>
          <w:rFonts w:ascii="Arial" w:hAnsi="Arial" w:cs="Arial"/>
          <w:bCs/>
          <w:sz w:val="24"/>
          <w:szCs w:val="24"/>
          <w:lang w:val="en-US"/>
        </w:rPr>
      </w:pPr>
      <w:r w:rsidRPr="001B315F">
        <w:rPr>
          <w:rFonts w:ascii="Arial" w:hAnsi="Arial" w:cs="Arial"/>
          <w:bCs/>
          <w:sz w:val="24"/>
          <w:szCs w:val="24"/>
          <w:lang w:val="en-US"/>
        </w:rPr>
        <w:t>S</w:t>
      </w:r>
      <w:r>
        <w:rPr>
          <w:rFonts w:ascii="Arial" w:hAnsi="Arial" w:cs="Arial"/>
          <w:bCs/>
          <w:sz w:val="24"/>
          <w:szCs w:val="24"/>
          <w:lang w:val="en-US"/>
        </w:rPr>
        <w:t>3</w:t>
      </w:r>
      <w:r w:rsidRPr="001B315F">
        <w:rPr>
          <w:rFonts w:ascii="Arial" w:hAnsi="Arial" w:cs="Arial"/>
          <w:bCs/>
          <w:sz w:val="24"/>
          <w:szCs w:val="24"/>
          <w:lang w:val="en-US"/>
        </w:rPr>
        <w:t xml:space="preserve"> Fig.</w:t>
      </w:r>
      <w:r>
        <w:rPr>
          <w:rFonts w:ascii="Arial" w:hAnsi="Arial" w:cs="Arial"/>
          <w:bCs/>
          <w:sz w:val="24"/>
          <w:szCs w:val="24"/>
          <w:lang w:val="en-US"/>
        </w:rPr>
        <w:t>3</w:t>
      </w:r>
      <w:r w:rsidRPr="001B315F">
        <w:rPr>
          <w:rFonts w:ascii="Arial" w:hAnsi="Arial" w:cs="Arial"/>
          <w:bCs/>
          <w:sz w:val="24"/>
          <w:szCs w:val="24"/>
          <w:lang w:val="en-US"/>
        </w:rPr>
        <w:t>. Collecting samples. Collecting samples of brown noddy (</w:t>
      </w:r>
      <w:r w:rsidRPr="001B315F">
        <w:rPr>
          <w:rFonts w:ascii="Arial" w:hAnsi="Arial" w:cs="Arial"/>
          <w:bCs/>
          <w:i/>
          <w:iCs/>
          <w:sz w:val="24"/>
          <w:szCs w:val="24"/>
          <w:lang w:val="en-US"/>
        </w:rPr>
        <w:t>Anous stolidus</w:t>
      </w:r>
      <w:r w:rsidRPr="001B315F">
        <w:rPr>
          <w:rFonts w:ascii="Arial" w:hAnsi="Arial" w:cs="Arial"/>
          <w:bCs/>
          <w:sz w:val="24"/>
          <w:szCs w:val="24"/>
          <w:lang w:val="en-US"/>
        </w:rPr>
        <w:t>) in Rocks Atoll.</w:t>
      </w:r>
    </w:p>
    <w:p w14:paraId="5B0A1755" w14:textId="77777777" w:rsidR="00E06067" w:rsidRDefault="00E06067" w:rsidP="00E06067">
      <w:pPr>
        <w:spacing w:line="360" w:lineRule="auto"/>
        <w:jc w:val="both"/>
        <w:rPr>
          <w:rFonts w:ascii="Arial" w:hAnsi="Arial" w:cs="Arial"/>
          <w:bCs/>
          <w:sz w:val="24"/>
          <w:szCs w:val="24"/>
          <w:lang w:val="en-US"/>
        </w:rPr>
      </w:pPr>
    </w:p>
    <w:p w14:paraId="2D2E09A9" w14:textId="77777777" w:rsidR="00E06067" w:rsidRPr="00A3727B" w:rsidRDefault="00E06067" w:rsidP="00E06067">
      <w:pPr>
        <w:spacing w:line="360" w:lineRule="auto"/>
        <w:jc w:val="both"/>
        <w:rPr>
          <w:rFonts w:ascii="Arial" w:hAnsi="Arial" w:cs="Arial"/>
          <w:bCs/>
          <w:sz w:val="24"/>
          <w:szCs w:val="24"/>
        </w:rPr>
      </w:pPr>
      <w:r w:rsidRPr="00A3727B">
        <w:rPr>
          <w:rFonts w:ascii="Arial" w:hAnsi="Arial" w:cs="Arial"/>
          <w:bCs/>
          <w:noProof/>
          <w:sz w:val="24"/>
          <w:szCs w:val="24"/>
        </w:rPr>
        <w:drawing>
          <wp:inline distT="0" distB="0" distL="0" distR="0" wp14:anchorId="68C1C2C0" wp14:editId="6C59395B">
            <wp:extent cx="6120130" cy="5227320"/>
            <wp:effectExtent l="0" t="0" r="0" b="0"/>
            <wp:docPr id="94773042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227320"/>
                    </a:xfrm>
                    <a:prstGeom prst="rect">
                      <a:avLst/>
                    </a:prstGeom>
                    <a:noFill/>
                    <a:ln>
                      <a:noFill/>
                    </a:ln>
                  </pic:spPr>
                </pic:pic>
              </a:graphicData>
            </a:graphic>
          </wp:inline>
        </w:drawing>
      </w:r>
    </w:p>
    <w:p w14:paraId="5A35583B" w14:textId="77777777" w:rsidR="00E06067" w:rsidRPr="001B315F" w:rsidRDefault="00E06067" w:rsidP="00E06067">
      <w:pPr>
        <w:spacing w:line="360" w:lineRule="auto"/>
        <w:jc w:val="both"/>
        <w:rPr>
          <w:rFonts w:ascii="Arial" w:hAnsi="Arial" w:cs="Arial"/>
          <w:bCs/>
          <w:sz w:val="24"/>
          <w:szCs w:val="24"/>
        </w:rPr>
      </w:pPr>
      <w:r w:rsidRPr="001B315F">
        <w:rPr>
          <w:rFonts w:ascii="Arial" w:hAnsi="Arial" w:cs="Arial"/>
          <w:bCs/>
          <w:sz w:val="24"/>
          <w:szCs w:val="24"/>
          <w:lang w:val="en-US"/>
        </w:rPr>
        <w:t>S</w:t>
      </w:r>
      <w:r>
        <w:rPr>
          <w:rFonts w:ascii="Arial" w:hAnsi="Arial" w:cs="Arial"/>
          <w:bCs/>
          <w:sz w:val="24"/>
          <w:szCs w:val="24"/>
          <w:lang w:val="en-US"/>
        </w:rPr>
        <w:t>4</w:t>
      </w:r>
      <w:r w:rsidRPr="001B315F">
        <w:rPr>
          <w:rFonts w:ascii="Arial" w:hAnsi="Arial" w:cs="Arial"/>
          <w:bCs/>
          <w:sz w:val="24"/>
          <w:szCs w:val="24"/>
          <w:lang w:val="en-US"/>
        </w:rPr>
        <w:t xml:space="preserve"> Fig.</w:t>
      </w:r>
      <w:r>
        <w:rPr>
          <w:rFonts w:ascii="Arial" w:hAnsi="Arial" w:cs="Arial"/>
          <w:bCs/>
          <w:sz w:val="24"/>
          <w:szCs w:val="24"/>
          <w:lang w:val="en-US"/>
        </w:rPr>
        <w:t>4</w:t>
      </w:r>
      <w:r w:rsidRPr="001B315F">
        <w:rPr>
          <w:rFonts w:ascii="Arial" w:hAnsi="Arial" w:cs="Arial"/>
          <w:bCs/>
          <w:sz w:val="24"/>
          <w:szCs w:val="24"/>
          <w:lang w:val="en-US"/>
        </w:rPr>
        <w:t xml:space="preserve">. Occular symptoms. Birds showhing ocular symptoms, such as ocular discharge and erythema in the periocular region. </w:t>
      </w:r>
      <w:r w:rsidRPr="001B315F">
        <w:rPr>
          <w:rFonts w:ascii="Arial" w:hAnsi="Arial" w:cs="Arial"/>
          <w:bCs/>
          <w:sz w:val="24"/>
          <w:szCs w:val="24"/>
        </w:rPr>
        <w:t>A) Sample AR 263; B) Sample AR269 and C) Sample AR 271.</w:t>
      </w:r>
    </w:p>
    <w:p w14:paraId="4B86C658" w14:textId="77777777" w:rsidR="00E06067" w:rsidRDefault="00E06067" w:rsidP="00E06067">
      <w:pPr>
        <w:spacing w:line="360" w:lineRule="auto"/>
        <w:jc w:val="both"/>
        <w:rPr>
          <w:rFonts w:ascii="Arial" w:hAnsi="Arial" w:cs="Arial"/>
          <w:bCs/>
          <w:sz w:val="24"/>
          <w:szCs w:val="24"/>
        </w:rPr>
      </w:pPr>
    </w:p>
    <w:p w14:paraId="0C7401ED" w14:textId="77777777" w:rsidR="00E06067" w:rsidRDefault="00E06067" w:rsidP="00E06067">
      <w:pPr>
        <w:spacing w:line="360" w:lineRule="auto"/>
        <w:jc w:val="both"/>
        <w:rPr>
          <w:rFonts w:ascii="Arial" w:hAnsi="Arial" w:cs="Arial"/>
          <w:bCs/>
          <w:sz w:val="24"/>
          <w:szCs w:val="24"/>
          <w:lang w:val="en-US"/>
        </w:rPr>
      </w:pPr>
      <w:r w:rsidRPr="001B315F">
        <w:rPr>
          <w:rFonts w:ascii="Arial" w:hAnsi="Arial" w:cs="Arial"/>
          <w:bCs/>
          <w:sz w:val="24"/>
          <w:szCs w:val="24"/>
          <w:lang w:val="en-US"/>
        </w:rPr>
        <w:t>S5 Table 1. List of positive samples. List of samples of birds sequenced positive for adenovirus, collected in Atol das Rocas, RN with and without clinical symptoms.</w:t>
      </w:r>
    </w:p>
    <w:p w14:paraId="597AA069" w14:textId="77777777" w:rsidR="00E06067" w:rsidRPr="00A3727B" w:rsidRDefault="00E06067" w:rsidP="00E06067">
      <w:pPr>
        <w:spacing w:after="0" w:line="240" w:lineRule="auto"/>
        <w:rPr>
          <w:rFonts w:ascii="Times New Roman" w:eastAsia="Times New Roman" w:hAnsi="Times New Roman" w:cs="Times New Roman"/>
          <w:sz w:val="24"/>
          <w:szCs w:val="24"/>
          <w:lang w:val="en-US" w:eastAsia="pt-BR"/>
        </w:rPr>
      </w:pPr>
      <w:r w:rsidRPr="00A3727B">
        <w:rPr>
          <w:rFonts w:ascii="TimesNewRomanPS-BoldMT" w:eastAsia="Times New Roman" w:hAnsi="TimesNewRomanPS-BoldMT" w:cs="Times New Roman"/>
          <w:b/>
          <w:bCs/>
          <w:color w:val="000000"/>
          <w:sz w:val="24"/>
          <w:szCs w:val="24"/>
          <w:lang w:val="en-US" w:eastAsia="pt-BR"/>
        </w:rPr>
        <w:lastRenderedPageBreak/>
        <w:t xml:space="preserve">Table 1. </w:t>
      </w:r>
      <w:r w:rsidRPr="00A3727B">
        <w:rPr>
          <w:rFonts w:ascii="TimesNewRomanPSMT" w:eastAsia="Times New Roman" w:hAnsi="TimesNewRomanPSMT" w:cs="Times New Roman"/>
          <w:color w:val="000000"/>
          <w:sz w:val="24"/>
          <w:szCs w:val="24"/>
          <w:lang w:val="en-US" w:eastAsia="pt-BR"/>
        </w:rPr>
        <w:t xml:space="preserve">List of positive samples. List of birds </w:t>
      </w:r>
      <w:r>
        <w:rPr>
          <w:rFonts w:ascii="TimesNewRomanPSMT" w:eastAsia="Times New Roman" w:hAnsi="TimesNewRomanPSMT" w:cs="Times New Roman"/>
          <w:color w:val="000000"/>
          <w:sz w:val="24"/>
          <w:szCs w:val="24"/>
          <w:lang w:val="en-US" w:eastAsia="pt-BR"/>
        </w:rPr>
        <w:t xml:space="preserve">with </w:t>
      </w:r>
      <w:r w:rsidRPr="00A3727B">
        <w:rPr>
          <w:rFonts w:ascii="TimesNewRomanPSMT" w:eastAsia="Times New Roman" w:hAnsi="TimesNewRomanPSMT" w:cs="Times New Roman"/>
          <w:color w:val="000000"/>
          <w:sz w:val="24"/>
          <w:szCs w:val="24"/>
          <w:lang w:val="en-US" w:eastAsia="pt-BR"/>
        </w:rPr>
        <w:t>positive samples of sequenced for</w:t>
      </w:r>
      <w:r>
        <w:rPr>
          <w:rFonts w:ascii="TimesNewRomanPSMT" w:eastAsia="Times New Roman" w:hAnsi="TimesNewRomanPSMT" w:cs="Times New Roman"/>
          <w:color w:val="000000"/>
          <w:sz w:val="24"/>
          <w:szCs w:val="24"/>
          <w:lang w:val="en-US" w:eastAsia="pt-BR"/>
        </w:rPr>
        <w:t xml:space="preserve"> </w:t>
      </w:r>
      <w:r w:rsidRPr="00A3727B">
        <w:rPr>
          <w:rFonts w:ascii="TimesNewRomanPSMT" w:eastAsia="Times New Roman" w:hAnsi="TimesNewRomanPSMT" w:cs="Times New Roman"/>
          <w:color w:val="000000"/>
          <w:sz w:val="24"/>
          <w:szCs w:val="24"/>
          <w:lang w:val="en-US" w:eastAsia="pt-BR"/>
        </w:rPr>
        <w:t>adenovirus, collected in Atol das Rocas, RN with and without clinical symptoms.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31"/>
        <w:gridCol w:w="1283"/>
        <w:gridCol w:w="1359"/>
        <w:gridCol w:w="1221"/>
        <w:gridCol w:w="1572"/>
        <w:gridCol w:w="1248"/>
        <w:gridCol w:w="986"/>
        <w:gridCol w:w="928"/>
      </w:tblGrid>
      <w:tr w:rsidR="00E06067" w:rsidRPr="00A3727B" w14:paraId="54695B91" w14:textId="77777777" w:rsidTr="00395037">
        <w:tc>
          <w:tcPr>
            <w:tcW w:w="1031" w:type="dxa"/>
            <w:tcBorders>
              <w:top w:val="single" w:sz="4" w:space="0" w:color="auto"/>
              <w:left w:val="single" w:sz="4" w:space="0" w:color="auto"/>
              <w:bottom w:val="single" w:sz="4" w:space="0" w:color="auto"/>
              <w:right w:val="single" w:sz="4" w:space="0" w:color="auto"/>
            </w:tcBorders>
            <w:vAlign w:val="center"/>
          </w:tcPr>
          <w:p w14:paraId="5068C8A4"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 xml:space="preserve">ID </w:t>
            </w:r>
          </w:p>
        </w:tc>
        <w:tc>
          <w:tcPr>
            <w:tcW w:w="1283" w:type="dxa"/>
            <w:tcBorders>
              <w:top w:val="single" w:sz="4" w:space="0" w:color="auto"/>
              <w:left w:val="single" w:sz="4" w:space="0" w:color="auto"/>
              <w:bottom w:val="single" w:sz="4" w:space="0" w:color="auto"/>
              <w:right w:val="single" w:sz="4" w:space="0" w:color="auto"/>
            </w:tcBorders>
            <w:vAlign w:val="center"/>
          </w:tcPr>
          <w:p w14:paraId="5EE61604"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Island</w:t>
            </w:r>
          </w:p>
        </w:tc>
        <w:tc>
          <w:tcPr>
            <w:tcW w:w="1359" w:type="dxa"/>
            <w:tcBorders>
              <w:top w:val="single" w:sz="4" w:space="0" w:color="auto"/>
              <w:left w:val="single" w:sz="4" w:space="0" w:color="auto"/>
              <w:bottom w:val="single" w:sz="4" w:space="0" w:color="auto"/>
              <w:right w:val="single" w:sz="4" w:space="0" w:color="auto"/>
            </w:tcBorders>
            <w:vAlign w:val="center"/>
          </w:tcPr>
          <w:p w14:paraId="3BE77A82" w14:textId="77777777" w:rsidR="00E06067" w:rsidRPr="00A3727B" w:rsidRDefault="00E06067" w:rsidP="00395037">
            <w:pPr>
              <w:spacing w:after="0" w:line="240" w:lineRule="auto"/>
              <w:rPr>
                <w:rFonts w:ascii="TimesNewRomanPSMT" w:eastAsia="Times New Roman" w:hAnsi="TimesNewRomanPSMT" w:cs="Times New Roman"/>
                <w:color w:val="201F1E"/>
                <w:sz w:val="20"/>
                <w:szCs w:val="20"/>
                <w:lang w:eastAsia="pt-BR"/>
              </w:rPr>
            </w:pPr>
            <w:r w:rsidRPr="00A3727B">
              <w:rPr>
                <w:rFonts w:ascii="Calibri-Bold" w:eastAsia="Times New Roman" w:hAnsi="Calibri-Bold" w:cs="Times New Roman"/>
                <w:b/>
                <w:bCs/>
                <w:color w:val="000000"/>
                <w:sz w:val="20"/>
                <w:szCs w:val="20"/>
                <w:lang w:eastAsia="pt-BR"/>
              </w:rPr>
              <w:t>N</w:t>
            </w:r>
            <w:r>
              <w:rPr>
                <w:rFonts w:ascii="Calibri-Bold" w:eastAsia="Times New Roman" w:hAnsi="Calibri-Bold" w:cs="Times New Roman"/>
                <w:b/>
                <w:bCs/>
                <w:color w:val="000000"/>
                <w:sz w:val="20"/>
                <w:szCs w:val="20"/>
                <w:lang w:eastAsia="pt-BR"/>
              </w:rPr>
              <w:t>umber</w:t>
            </w:r>
            <w:r w:rsidRPr="00A3727B">
              <w:rPr>
                <w:rFonts w:ascii="Calibri-Bold" w:eastAsia="Times New Roman" w:hAnsi="Calibri-Bold" w:cs="Times New Roman"/>
                <w:b/>
                <w:bCs/>
                <w:color w:val="000000"/>
                <w:sz w:val="20"/>
                <w:szCs w:val="20"/>
                <w:lang w:eastAsia="pt-BR"/>
              </w:rPr>
              <w:t xml:space="preserve"> </w:t>
            </w:r>
            <w:r>
              <w:rPr>
                <w:rFonts w:ascii="Calibri-Bold" w:eastAsia="Times New Roman" w:hAnsi="Calibri-Bold" w:cs="Times New Roman"/>
                <w:b/>
                <w:bCs/>
                <w:color w:val="000000"/>
                <w:sz w:val="20"/>
                <w:szCs w:val="20"/>
                <w:lang w:eastAsia="pt-BR"/>
              </w:rPr>
              <w:t>of</w:t>
            </w:r>
            <w:r w:rsidRPr="00A3727B">
              <w:rPr>
                <w:rFonts w:ascii="Calibri-Bold" w:eastAsia="Times New Roman" w:hAnsi="Calibri-Bold" w:cs="Times New Roman"/>
                <w:b/>
                <w:bCs/>
                <w:color w:val="000000"/>
                <w:sz w:val="20"/>
                <w:szCs w:val="20"/>
                <w:lang w:eastAsia="pt-BR"/>
              </w:rPr>
              <w:br/>
              <w:t xml:space="preserve">GENEBANK </w:t>
            </w:r>
          </w:p>
        </w:tc>
        <w:tc>
          <w:tcPr>
            <w:tcW w:w="1221" w:type="dxa"/>
            <w:tcBorders>
              <w:top w:val="single" w:sz="4" w:space="0" w:color="auto"/>
              <w:left w:val="single" w:sz="4" w:space="0" w:color="auto"/>
              <w:bottom w:val="single" w:sz="4" w:space="0" w:color="auto"/>
              <w:right w:val="single" w:sz="4" w:space="0" w:color="auto"/>
            </w:tcBorders>
            <w:vAlign w:val="center"/>
          </w:tcPr>
          <w:p w14:paraId="3A53AC03"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 xml:space="preserve">Ring number </w:t>
            </w:r>
          </w:p>
        </w:tc>
        <w:tc>
          <w:tcPr>
            <w:tcW w:w="1572" w:type="dxa"/>
            <w:tcBorders>
              <w:top w:val="single" w:sz="4" w:space="0" w:color="auto"/>
              <w:left w:val="single" w:sz="4" w:space="0" w:color="auto"/>
              <w:bottom w:val="single" w:sz="4" w:space="0" w:color="auto"/>
              <w:right w:val="single" w:sz="4" w:space="0" w:color="auto"/>
            </w:tcBorders>
            <w:vAlign w:val="center"/>
          </w:tcPr>
          <w:p w14:paraId="36FAC050" w14:textId="77777777" w:rsidR="00E06067" w:rsidRPr="00A3727B" w:rsidRDefault="00E06067" w:rsidP="00395037">
            <w:pPr>
              <w:spacing w:after="0" w:line="240" w:lineRule="auto"/>
              <w:rPr>
                <w:rFonts w:ascii="TimesNewRomanPS-ItalicMT" w:eastAsia="Times New Roman" w:hAnsi="TimesNewRomanPS-ItalicMT" w:cs="Times New Roman"/>
                <w:i/>
                <w:iCs/>
                <w:color w:val="000000"/>
                <w:sz w:val="20"/>
                <w:szCs w:val="20"/>
                <w:lang w:eastAsia="pt-BR"/>
              </w:rPr>
            </w:pPr>
            <w:r w:rsidRPr="00A3727B">
              <w:rPr>
                <w:rFonts w:ascii="Arial-BoldMT" w:eastAsia="Times New Roman" w:hAnsi="Arial-BoldMT" w:cs="Times New Roman"/>
                <w:b/>
                <w:bCs/>
                <w:color w:val="000000"/>
                <w:sz w:val="20"/>
                <w:szCs w:val="20"/>
                <w:lang w:eastAsia="pt-BR"/>
              </w:rPr>
              <w:t>Species</w:t>
            </w:r>
          </w:p>
        </w:tc>
        <w:tc>
          <w:tcPr>
            <w:tcW w:w="1248" w:type="dxa"/>
            <w:tcBorders>
              <w:top w:val="single" w:sz="4" w:space="0" w:color="auto"/>
              <w:left w:val="single" w:sz="4" w:space="0" w:color="auto"/>
              <w:bottom w:val="single" w:sz="4" w:space="0" w:color="auto"/>
              <w:right w:val="single" w:sz="4" w:space="0" w:color="auto"/>
            </w:tcBorders>
            <w:vAlign w:val="center"/>
          </w:tcPr>
          <w:p w14:paraId="4CB09301"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Commom</w:t>
            </w:r>
            <w:r w:rsidRPr="00A3727B">
              <w:rPr>
                <w:rFonts w:ascii="Arial-BoldMT" w:eastAsia="Times New Roman" w:hAnsi="Arial-BoldMT" w:cs="Times New Roman"/>
                <w:b/>
                <w:bCs/>
                <w:color w:val="000000"/>
                <w:sz w:val="20"/>
                <w:szCs w:val="20"/>
                <w:lang w:eastAsia="pt-BR"/>
              </w:rPr>
              <w:br/>
              <w:t xml:space="preserve">names </w:t>
            </w:r>
          </w:p>
        </w:tc>
        <w:tc>
          <w:tcPr>
            <w:tcW w:w="986" w:type="dxa"/>
            <w:tcBorders>
              <w:top w:val="single" w:sz="4" w:space="0" w:color="auto"/>
              <w:left w:val="single" w:sz="4" w:space="0" w:color="auto"/>
              <w:bottom w:val="single" w:sz="4" w:space="0" w:color="auto"/>
              <w:right w:val="single" w:sz="4" w:space="0" w:color="auto"/>
            </w:tcBorders>
            <w:vAlign w:val="center"/>
          </w:tcPr>
          <w:p w14:paraId="2D047451"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Clinical signs RE</w:t>
            </w:r>
          </w:p>
        </w:tc>
        <w:tc>
          <w:tcPr>
            <w:tcW w:w="928" w:type="dxa"/>
            <w:tcBorders>
              <w:top w:val="single" w:sz="4" w:space="0" w:color="auto"/>
              <w:left w:val="single" w:sz="4" w:space="0" w:color="auto"/>
              <w:bottom w:val="single" w:sz="4" w:space="0" w:color="auto"/>
              <w:right w:val="single" w:sz="4" w:space="0" w:color="auto"/>
            </w:tcBorders>
            <w:vAlign w:val="center"/>
          </w:tcPr>
          <w:p w14:paraId="1EEF10EF" w14:textId="77777777" w:rsidR="00E06067" w:rsidRPr="00A3727B" w:rsidRDefault="00E06067" w:rsidP="00395037">
            <w:pPr>
              <w:spacing w:after="0" w:line="240" w:lineRule="auto"/>
              <w:rPr>
                <w:rFonts w:ascii="TimesNewRomanPSMT" w:eastAsia="Times New Roman" w:hAnsi="TimesNewRomanPSMT" w:cs="Times New Roman"/>
                <w:color w:val="000000"/>
                <w:sz w:val="20"/>
                <w:szCs w:val="20"/>
                <w:lang w:eastAsia="pt-BR"/>
              </w:rPr>
            </w:pPr>
            <w:r w:rsidRPr="00A3727B">
              <w:rPr>
                <w:rFonts w:ascii="Arial-BoldMT" w:eastAsia="Times New Roman" w:hAnsi="Arial-BoldMT" w:cs="Times New Roman"/>
                <w:b/>
                <w:bCs/>
                <w:color w:val="000000"/>
                <w:sz w:val="20"/>
                <w:szCs w:val="20"/>
                <w:lang w:eastAsia="pt-BR"/>
              </w:rPr>
              <w:t>Clinical signs LE</w:t>
            </w:r>
          </w:p>
        </w:tc>
      </w:tr>
      <w:tr w:rsidR="00E06067" w:rsidRPr="00A3727B" w14:paraId="03F1B064"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8EAB31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AR011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EE5B5B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D796CC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OL436124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564EB75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H106402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4DCE63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minutus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978A2B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Black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3408604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4061D33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36954DF0"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A08AF0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AR012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A2EF94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71D136C"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OL436125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17EE3C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H106403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BF56FC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minutus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1CE3CB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Black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4FFC62B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2063FAB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28D284C8"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18DBD0C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AR013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3E4F49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187918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OL436126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8E6D7F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H106404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AF8C6A0"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minutus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4E8A710"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Black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7C5E00D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3D52B40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61B25BCB"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2F3CC4A0"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AR052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94FEB0B"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9F8D25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OL436127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9A97F0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U25000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67A6D2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stolidus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1BA741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Brown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7903969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19B5776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4F82C82E"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12786F7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AR059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159C1B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B6A336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OL436128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4428B5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U25000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7E7BCA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Sula leucogaster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03C3F4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Brown booby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5254A25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13E4E71C"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427D8402"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746709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AR074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5A2F9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2DF97E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OL436129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36D45F8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J85541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C617E4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Onychoprion fuscatus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335770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Sooty tern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52330B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32109DAB"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40464531"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43E273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AR079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F73C87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7DF5D3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OL436130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F08FAB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686837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minutus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16D346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Black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5814A8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4C14427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60C7DCBE"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2D9359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AR080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1EA35C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11CFAA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OL436131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5FC9258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H106419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2B1506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minutus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7659D1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Black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0492F6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12ABB83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402F42F2"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E6C526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AR089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CA1FC4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Cemitério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D57245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OL436132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31A694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J85529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744FDC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Onychoprion fuscatus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C90F0B"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Sooty tern </w:t>
            </w:r>
          </w:p>
        </w:tc>
        <w:tc>
          <w:tcPr>
            <w:tcW w:w="986" w:type="dxa"/>
            <w:tcBorders>
              <w:top w:val="single" w:sz="4" w:space="0" w:color="auto"/>
              <w:left w:val="single" w:sz="4" w:space="0" w:color="auto"/>
              <w:bottom w:val="single" w:sz="4" w:space="0" w:color="auto"/>
              <w:right w:val="single" w:sz="4" w:space="0" w:color="auto"/>
            </w:tcBorders>
            <w:vAlign w:val="center"/>
            <w:hideMark/>
          </w:tcPr>
          <w:p w14:paraId="3852D8C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5D527A6B"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7A4BF44D"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7028233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AR134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EDBE4F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4ECF9C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OL436133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236494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V46523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7A57B9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Sula dactylatra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283FBA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Masked booby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6C59B8F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4919B54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09661C05"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4EE81ED0"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AR154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9F300A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A6DFB5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OL436134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850E4B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262463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Sula Sula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2BDB9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Red boobies -footed </w:t>
            </w:r>
          </w:p>
        </w:tc>
        <w:tc>
          <w:tcPr>
            <w:tcW w:w="986" w:type="dxa"/>
            <w:tcBorders>
              <w:top w:val="single" w:sz="4" w:space="0" w:color="auto"/>
              <w:left w:val="single" w:sz="4" w:space="0" w:color="auto"/>
              <w:bottom w:val="single" w:sz="4" w:space="0" w:color="auto"/>
              <w:right w:val="single" w:sz="4" w:space="0" w:color="auto"/>
            </w:tcBorders>
            <w:vAlign w:val="center"/>
            <w:hideMark/>
          </w:tcPr>
          <w:p w14:paraId="6093C0C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1F57E12C"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67EC4E93"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2D4DA6C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AR263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70444F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9D75AD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OL436135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5C4445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57EA8D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Onychoprion fuscatus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71FA42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Sooty tern </w:t>
            </w:r>
          </w:p>
        </w:tc>
        <w:tc>
          <w:tcPr>
            <w:tcW w:w="986" w:type="dxa"/>
            <w:tcBorders>
              <w:top w:val="single" w:sz="4" w:space="0" w:color="auto"/>
              <w:left w:val="single" w:sz="4" w:space="0" w:color="auto"/>
              <w:bottom w:val="single" w:sz="4" w:space="0" w:color="auto"/>
              <w:right w:val="single" w:sz="4" w:space="0" w:color="auto"/>
            </w:tcBorders>
            <w:vAlign w:val="center"/>
            <w:hideMark/>
          </w:tcPr>
          <w:p w14:paraId="43E975E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6E5C59C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Yes</w:t>
            </w:r>
          </w:p>
        </w:tc>
      </w:tr>
      <w:tr w:rsidR="00E06067" w:rsidRPr="00A3727B" w14:paraId="489F31AF"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6F8F5B3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AR269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9AAD91E"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A583E3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OL436136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657E0E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45AFF3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Onychoprion fuscatus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1FDB4E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Sooty tern </w:t>
            </w:r>
          </w:p>
        </w:tc>
        <w:tc>
          <w:tcPr>
            <w:tcW w:w="986" w:type="dxa"/>
            <w:tcBorders>
              <w:top w:val="single" w:sz="4" w:space="0" w:color="auto"/>
              <w:left w:val="single" w:sz="4" w:space="0" w:color="auto"/>
              <w:bottom w:val="single" w:sz="4" w:space="0" w:color="auto"/>
              <w:right w:val="single" w:sz="4" w:space="0" w:color="auto"/>
            </w:tcBorders>
            <w:vAlign w:val="center"/>
            <w:hideMark/>
          </w:tcPr>
          <w:p w14:paraId="5D11C62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Yes</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0DEC986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r w:rsidR="00E06067" w:rsidRPr="00A3727B" w14:paraId="49FC6F32"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1E41DBF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AR271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FA17BCF"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1179A8D"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OL436137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190F1B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0958878"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Onychoprion fuscatus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3A123A9"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Sooty tern </w:t>
            </w:r>
          </w:p>
        </w:tc>
        <w:tc>
          <w:tcPr>
            <w:tcW w:w="986" w:type="dxa"/>
            <w:tcBorders>
              <w:top w:val="single" w:sz="4" w:space="0" w:color="auto"/>
              <w:left w:val="single" w:sz="4" w:space="0" w:color="auto"/>
              <w:bottom w:val="single" w:sz="4" w:space="0" w:color="auto"/>
              <w:right w:val="single" w:sz="4" w:space="0" w:color="auto"/>
            </w:tcBorders>
            <w:vAlign w:val="center"/>
            <w:hideMark/>
          </w:tcPr>
          <w:p w14:paraId="57E1C97C"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0BFB7D23"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Yes</w:t>
            </w:r>
          </w:p>
        </w:tc>
      </w:tr>
      <w:tr w:rsidR="00E06067" w:rsidRPr="00A3727B" w14:paraId="43953689" w14:textId="77777777" w:rsidTr="00395037">
        <w:tc>
          <w:tcPr>
            <w:tcW w:w="1031" w:type="dxa"/>
            <w:tcBorders>
              <w:top w:val="single" w:sz="4" w:space="0" w:color="auto"/>
              <w:left w:val="single" w:sz="4" w:space="0" w:color="auto"/>
              <w:bottom w:val="single" w:sz="4" w:space="0" w:color="auto"/>
              <w:right w:val="single" w:sz="4" w:space="0" w:color="auto"/>
            </w:tcBorders>
            <w:vAlign w:val="center"/>
            <w:hideMark/>
          </w:tcPr>
          <w:p w14:paraId="7442B5F1"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AR275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E4AC427"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Ilha do</w:t>
            </w:r>
            <w:r w:rsidRPr="00A3727B">
              <w:rPr>
                <w:rFonts w:ascii="TimesNewRomanPSMT" w:eastAsia="Times New Roman" w:hAnsi="TimesNewRomanPSMT" w:cs="Times New Roman"/>
                <w:color w:val="000000"/>
                <w:sz w:val="20"/>
                <w:szCs w:val="20"/>
                <w:lang w:eastAsia="pt-BR"/>
              </w:rPr>
              <w:br/>
              <w:t xml:space="preserve">Farol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553F1B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201F1E"/>
                <w:sz w:val="20"/>
                <w:szCs w:val="20"/>
                <w:lang w:eastAsia="pt-BR"/>
              </w:rPr>
              <w:t xml:space="preserve">OL436138 </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06C183A"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DEA2564"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ItalicMT" w:eastAsia="Times New Roman" w:hAnsi="TimesNewRomanPS-ItalicMT" w:cs="Times New Roman"/>
                <w:i/>
                <w:iCs/>
                <w:color w:val="000000"/>
                <w:sz w:val="20"/>
                <w:szCs w:val="20"/>
                <w:lang w:eastAsia="pt-BR"/>
              </w:rPr>
              <w:t xml:space="preserve">Anous stolidus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AA92945"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sidRPr="00A3727B">
              <w:rPr>
                <w:rFonts w:ascii="TimesNewRomanPSMT" w:eastAsia="Times New Roman" w:hAnsi="TimesNewRomanPSMT" w:cs="Times New Roman"/>
                <w:color w:val="000000"/>
                <w:sz w:val="20"/>
                <w:szCs w:val="20"/>
                <w:lang w:eastAsia="pt-BR"/>
              </w:rPr>
              <w:t xml:space="preserve">Brown noddy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6A121E6"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r w:rsidRPr="00A3727B">
              <w:rPr>
                <w:rFonts w:ascii="TimesNewRomanPSMT" w:eastAsia="Times New Roman" w:hAnsi="TimesNewRomanPSMT" w:cs="Times New Roman"/>
                <w:color w:val="000000"/>
                <w:sz w:val="20"/>
                <w:szCs w:val="20"/>
                <w:lang w:eastAsia="pt-BR"/>
              </w:rPr>
              <w:t xml:space="preserve"> </w:t>
            </w:r>
          </w:p>
        </w:tc>
        <w:tc>
          <w:tcPr>
            <w:tcW w:w="928" w:type="dxa"/>
            <w:tcBorders>
              <w:top w:val="single" w:sz="4" w:space="0" w:color="auto"/>
              <w:left w:val="single" w:sz="4" w:space="0" w:color="auto"/>
              <w:bottom w:val="single" w:sz="4" w:space="0" w:color="auto"/>
              <w:right w:val="single" w:sz="4" w:space="0" w:color="auto"/>
            </w:tcBorders>
            <w:vAlign w:val="center"/>
            <w:hideMark/>
          </w:tcPr>
          <w:p w14:paraId="6E9E2242" w14:textId="77777777" w:rsidR="00E06067" w:rsidRPr="00A3727B" w:rsidRDefault="00E06067" w:rsidP="00395037">
            <w:pPr>
              <w:spacing w:after="0" w:line="240" w:lineRule="auto"/>
              <w:rPr>
                <w:rFonts w:ascii="Times New Roman" w:eastAsia="Times New Roman" w:hAnsi="Times New Roman" w:cs="Times New Roman"/>
                <w:sz w:val="20"/>
                <w:szCs w:val="20"/>
                <w:lang w:eastAsia="pt-BR"/>
              </w:rPr>
            </w:pPr>
            <w:r>
              <w:rPr>
                <w:rFonts w:ascii="TimesNewRomanPSMT" w:eastAsia="Times New Roman" w:hAnsi="TimesNewRomanPSMT" w:cs="Times New Roman"/>
                <w:color w:val="000000"/>
                <w:sz w:val="20"/>
                <w:szCs w:val="20"/>
                <w:lang w:eastAsia="pt-BR"/>
              </w:rPr>
              <w:t>No</w:t>
            </w:r>
          </w:p>
        </w:tc>
      </w:tr>
    </w:tbl>
    <w:p w14:paraId="4E5A09A6" w14:textId="77777777" w:rsidR="00E06067" w:rsidRDefault="00E06067" w:rsidP="00E06067">
      <w:pPr>
        <w:spacing w:after="0" w:line="240" w:lineRule="auto"/>
        <w:jc w:val="both"/>
        <w:rPr>
          <w:rFonts w:ascii="ArialMT" w:eastAsia="Times New Roman" w:hAnsi="ArialMT" w:cs="Times New Roman"/>
          <w:color w:val="000000"/>
          <w:sz w:val="24"/>
          <w:szCs w:val="24"/>
          <w:lang w:val="en-US" w:eastAsia="pt-BR"/>
        </w:rPr>
      </w:pPr>
      <w:r w:rsidRPr="00A3727B">
        <w:rPr>
          <w:rFonts w:ascii="ArialMT" w:eastAsia="Times New Roman" w:hAnsi="ArialMT" w:cs="Times New Roman"/>
          <w:color w:val="000000"/>
          <w:sz w:val="24"/>
          <w:szCs w:val="24"/>
          <w:lang w:val="en-US" w:eastAsia="pt-BR"/>
        </w:rPr>
        <w:t>Legend:</w:t>
      </w:r>
      <w:r w:rsidRPr="00A3727B">
        <w:rPr>
          <w:rFonts w:ascii="ArialMT" w:eastAsia="Times New Roman" w:hAnsi="ArialMT" w:cs="Times New Roman"/>
          <w:color w:val="000000"/>
          <w:sz w:val="24"/>
          <w:szCs w:val="24"/>
          <w:lang w:val="en-US" w:eastAsia="pt-BR"/>
        </w:rPr>
        <w:br/>
        <w:t>ID: Gene Bank identification</w:t>
      </w:r>
      <w:r>
        <w:rPr>
          <w:rFonts w:ascii="ArialMT" w:eastAsia="Times New Roman" w:hAnsi="ArialMT" w:cs="Times New Roman"/>
          <w:color w:val="000000"/>
          <w:sz w:val="24"/>
          <w:szCs w:val="24"/>
          <w:lang w:val="en-US" w:eastAsia="pt-BR"/>
        </w:rPr>
        <w:t xml:space="preserve"> </w:t>
      </w:r>
    </w:p>
    <w:p w14:paraId="6F310403" w14:textId="77777777" w:rsidR="00E06067" w:rsidRDefault="00E06067" w:rsidP="00E06067">
      <w:pPr>
        <w:spacing w:after="0" w:line="240" w:lineRule="auto"/>
        <w:jc w:val="both"/>
        <w:rPr>
          <w:rFonts w:ascii="ArialMT" w:eastAsia="Times New Roman" w:hAnsi="ArialMT" w:cs="Times New Roman"/>
          <w:color w:val="000000"/>
          <w:sz w:val="24"/>
          <w:szCs w:val="24"/>
          <w:lang w:val="en-US" w:eastAsia="pt-BR"/>
        </w:rPr>
      </w:pPr>
      <w:r w:rsidRPr="00A3727B">
        <w:rPr>
          <w:rFonts w:ascii="ArialMT" w:eastAsia="Times New Roman" w:hAnsi="ArialMT" w:cs="Times New Roman"/>
          <w:color w:val="000000"/>
          <w:sz w:val="24"/>
          <w:szCs w:val="24"/>
          <w:lang w:val="en-US" w:eastAsia="pt-BR"/>
        </w:rPr>
        <w:t xml:space="preserve">AR – Atol </w:t>
      </w:r>
      <w:r>
        <w:rPr>
          <w:rFonts w:ascii="ArialMT" w:eastAsia="Times New Roman" w:hAnsi="ArialMT" w:cs="Times New Roman"/>
          <w:color w:val="000000"/>
          <w:sz w:val="24"/>
          <w:szCs w:val="24"/>
          <w:lang w:val="en-US" w:eastAsia="pt-BR"/>
        </w:rPr>
        <w:t>das</w:t>
      </w:r>
      <w:r w:rsidRPr="00A3727B">
        <w:rPr>
          <w:rFonts w:ascii="ArialMT" w:eastAsia="Times New Roman" w:hAnsi="ArialMT" w:cs="Times New Roman"/>
          <w:color w:val="000000"/>
          <w:sz w:val="24"/>
          <w:szCs w:val="24"/>
          <w:lang w:val="en-US" w:eastAsia="pt-BR"/>
        </w:rPr>
        <w:t xml:space="preserve"> Rocas</w:t>
      </w:r>
    </w:p>
    <w:p w14:paraId="4673D7B5" w14:textId="77777777" w:rsidR="00E06067" w:rsidRDefault="00E06067" w:rsidP="00E06067">
      <w:pPr>
        <w:spacing w:after="0" w:line="240" w:lineRule="auto"/>
        <w:jc w:val="both"/>
        <w:rPr>
          <w:rFonts w:ascii="ArialMT" w:eastAsia="Times New Roman" w:hAnsi="ArialMT" w:cs="Times New Roman"/>
          <w:color w:val="000000"/>
          <w:sz w:val="24"/>
          <w:szCs w:val="24"/>
          <w:lang w:val="en-US" w:eastAsia="pt-BR"/>
        </w:rPr>
      </w:pPr>
      <w:r w:rsidRPr="00A3727B">
        <w:rPr>
          <w:rFonts w:ascii="ArialMT" w:eastAsia="Times New Roman" w:hAnsi="ArialMT" w:cs="Times New Roman"/>
          <w:color w:val="000000"/>
          <w:sz w:val="24"/>
          <w:szCs w:val="24"/>
          <w:lang w:val="en-US" w:eastAsia="pt-BR"/>
        </w:rPr>
        <w:t>RE – Right eye alteration</w:t>
      </w:r>
    </w:p>
    <w:p w14:paraId="652714E4" w14:textId="77777777" w:rsidR="00E06067" w:rsidRPr="00A3727B" w:rsidRDefault="00E06067" w:rsidP="00E06067">
      <w:pPr>
        <w:spacing w:after="0" w:line="240" w:lineRule="auto"/>
        <w:jc w:val="both"/>
        <w:rPr>
          <w:rFonts w:ascii="Arial" w:hAnsi="Arial" w:cs="Arial"/>
          <w:sz w:val="24"/>
          <w:szCs w:val="24"/>
          <w:lang w:val="en-US"/>
        </w:rPr>
      </w:pPr>
      <w:r w:rsidRPr="00A3727B">
        <w:rPr>
          <w:rFonts w:ascii="ArialMT" w:eastAsia="Times New Roman" w:hAnsi="ArialMT" w:cs="Times New Roman"/>
          <w:color w:val="000000"/>
          <w:sz w:val="24"/>
          <w:szCs w:val="24"/>
          <w:lang w:val="en-US" w:eastAsia="pt-BR"/>
        </w:rPr>
        <w:t>LE– Left eye alteration</w:t>
      </w:r>
    </w:p>
    <w:p w14:paraId="27595C60" w14:textId="77777777" w:rsidR="00E023F9" w:rsidRDefault="00E023F9"/>
    <w:p w14:paraId="4EDD7DAF" w14:textId="77777777" w:rsidR="009767EF" w:rsidRDefault="009767EF"/>
    <w:p w14:paraId="1C3BEA56" w14:textId="77777777" w:rsidR="009767EF" w:rsidRPr="00CF153D" w:rsidRDefault="009767EF" w:rsidP="009767EF">
      <w:pPr>
        <w:spacing w:line="360" w:lineRule="auto"/>
        <w:ind w:left="-426"/>
        <w:jc w:val="both"/>
        <w:rPr>
          <w:rFonts w:ascii="Arial" w:hAnsi="Arial" w:cs="Arial"/>
          <w:bCs/>
          <w:sz w:val="24"/>
          <w:szCs w:val="24"/>
        </w:rPr>
      </w:pPr>
      <w:r w:rsidRPr="00CF153D">
        <w:rPr>
          <w:rFonts w:ascii="Arial" w:hAnsi="Arial" w:cs="Arial"/>
          <w:bCs/>
          <w:noProof/>
          <w:sz w:val="24"/>
          <w:szCs w:val="24"/>
        </w:rPr>
        <w:lastRenderedPageBreak/>
        <w:drawing>
          <wp:inline distT="0" distB="0" distL="0" distR="0" wp14:anchorId="3D539334" wp14:editId="4A431578">
            <wp:extent cx="6787352" cy="3817620"/>
            <wp:effectExtent l="0" t="0" r="0" b="0"/>
            <wp:docPr id="21219452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6135" cy="3822560"/>
                    </a:xfrm>
                    <a:prstGeom prst="rect">
                      <a:avLst/>
                    </a:prstGeom>
                    <a:noFill/>
                    <a:ln>
                      <a:noFill/>
                    </a:ln>
                  </pic:spPr>
                </pic:pic>
              </a:graphicData>
            </a:graphic>
          </wp:inline>
        </w:drawing>
      </w:r>
    </w:p>
    <w:p w14:paraId="41999E1D" w14:textId="77777777" w:rsidR="009767EF" w:rsidRPr="001B315F" w:rsidRDefault="009767EF" w:rsidP="009767EF">
      <w:pPr>
        <w:spacing w:line="360" w:lineRule="auto"/>
        <w:jc w:val="both"/>
        <w:rPr>
          <w:rFonts w:ascii="Arial" w:hAnsi="Arial" w:cs="Arial"/>
          <w:bCs/>
          <w:sz w:val="24"/>
          <w:szCs w:val="24"/>
          <w:lang w:val="en-US"/>
        </w:rPr>
      </w:pPr>
      <w:r w:rsidRPr="001B315F">
        <w:rPr>
          <w:rFonts w:ascii="Arial" w:hAnsi="Arial" w:cs="Arial"/>
          <w:bCs/>
          <w:sz w:val="24"/>
          <w:szCs w:val="24"/>
          <w:lang w:val="en-US"/>
        </w:rPr>
        <w:t>Fig.</w:t>
      </w:r>
      <w:r>
        <w:rPr>
          <w:rFonts w:ascii="Arial" w:hAnsi="Arial" w:cs="Arial"/>
          <w:bCs/>
          <w:sz w:val="24"/>
          <w:szCs w:val="24"/>
          <w:lang w:val="en-US"/>
        </w:rPr>
        <w:t>5</w:t>
      </w:r>
      <w:r w:rsidRPr="001B315F">
        <w:rPr>
          <w:rFonts w:ascii="Arial" w:hAnsi="Arial" w:cs="Arial"/>
          <w:bCs/>
          <w:sz w:val="24"/>
          <w:szCs w:val="24"/>
          <w:lang w:val="en-US"/>
        </w:rPr>
        <w:t>. Phylogenetic tree. Phylogenetic tree generated with the sequences of Adenoviruses found in birds of Atol das Rocas. Phylogenetic tree by the neighbor joining tree method, with 250 base pairs and the bootstrap was performed with 1000 repetitions. The samples sequenced in this project are identified in the tree with the initials AR (Atol das Rocas) followed by their numbering.</w:t>
      </w:r>
    </w:p>
    <w:p w14:paraId="78ACE78C" w14:textId="77777777" w:rsidR="009767EF" w:rsidRDefault="009767EF"/>
    <w:sectPr w:rsidR="009767EF" w:rsidSect="00E06067">
      <w:headerReference w:type="default" r:id="rId11"/>
      <w:pgSz w:w="11906" w:h="16838"/>
      <w:pgMar w:top="1134" w:right="1134" w:bottom="1134" w:left="1134" w:header="709"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8253D" w14:textId="77777777" w:rsidR="00493F75" w:rsidRDefault="00493F75">
      <w:pPr>
        <w:spacing w:after="0" w:line="240" w:lineRule="auto"/>
      </w:pPr>
      <w:r>
        <w:separator/>
      </w:r>
    </w:p>
  </w:endnote>
  <w:endnote w:type="continuationSeparator" w:id="0">
    <w:p w14:paraId="4BAC92C6" w14:textId="77777777" w:rsidR="00493F75" w:rsidRDefault="0049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BoldMT">
    <w:altName w:val="Arial"/>
    <w:panose1 w:val="00000000000000000000"/>
    <w:charset w:val="00"/>
    <w:family w:val="roman"/>
    <w:notTrueType/>
    <w:pitch w:val="default"/>
  </w:font>
  <w:font w:name="Calibri-Bold">
    <w:altName w:val="Calibri"/>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D6F1F" w14:textId="77777777" w:rsidR="00493F75" w:rsidRDefault="00493F75">
      <w:pPr>
        <w:spacing w:after="0" w:line="240" w:lineRule="auto"/>
      </w:pPr>
      <w:r>
        <w:separator/>
      </w:r>
    </w:p>
  </w:footnote>
  <w:footnote w:type="continuationSeparator" w:id="0">
    <w:p w14:paraId="20F04049" w14:textId="77777777" w:rsidR="00493F75" w:rsidRDefault="00493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14541"/>
      <w:docPartObj>
        <w:docPartGallery w:val="Page Numbers (Top of Page)"/>
        <w:docPartUnique/>
      </w:docPartObj>
    </w:sdtPr>
    <w:sdtContent>
      <w:p w14:paraId="4FA39260" w14:textId="77777777" w:rsidR="00E06067" w:rsidRDefault="00E06067">
        <w:pPr>
          <w:pStyle w:val="Header"/>
          <w:jc w:val="right"/>
        </w:pPr>
        <w:r>
          <w:fldChar w:fldCharType="begin"/>
        </w:r>
        <w:r>
          <w:instrText>PAGE</w:instrText>
        </w:r>
        <w:r>
          <w:fldChar w:fldCharType="separate"/>
        </w:r>
        <w:r>
          <w:rPr>
            <w:noProof/>
          </w:rPr>
          <w:t>10</w:t>
        </w:r>
        <w:r>
          <w:fldChar w:fldCharType="end"/>
        </w:r>
      </w:p>
    </w:sdtContent>
  </w:sdt>
  <w:p w14:paraId="51333D1F" w14:textId="77777777" w:rsidR="00E06067" w:rsidRDefault="00E060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67"/>
    <w:rsid w:val="000C4033"/>
    <w:rsid w:val="00173ED8"/>
    <w:rsid w:val="00493F75"/>
    <w:rsid w:val="004A58C9"/>
    <w:rsid w:val="004B42CB"/>
    <w:rsid w:val="005F2B46"/>
    <w:rsid w:val="006E1731"/>
    <w:rsid w:val="00866D74"/>
    <w:rsid w:val="00882A73"/>
    <w:rsid w:val="0095305D"/>
    <w:rsid w:val="009767EF"/>
    <w:rsid w:val="00B260B7"/>
    <w:rsid w:val="00B85331"/>
    <w:rsid w:val="00DE7E69"/>
    <w:rsid w:val="00E023F9"/>
    <w:rsid w:val="00E060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8C59"/>
  <w15:chartTrackingRefBased/>
  <w15:docId w15:val="{5037A4AA-CE5B-422C-8855-5B46D46F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067"/>
    <w:pPr>
      <w:spacing w:after="200" w:line="276" w:lineRule="auto"/>
    </w:pPr>
    <w:rPr>
      <w:kern w:val="0"/>
      <w:sz w:val="22"/>
      <w:szCs w:val="22"/>
      <w:lang w:val="pt-BR"/>
      <w14:ligatures w14:val="none"/>
    </w:rPr>
  </w:style>
  <w:style w:type="paragraph" w:styleId="Heading1">
    <w:name w:val="heading 1"/>
    <w:basedOn w:val="Normal"/>
    <w:next w:val="Normal"/>
    <w:link w:val="Heading1Char"/>
    <w:uiPriority w:val="9"/>
    <w:qFormat/>
    <w:rsid w:val="00E0606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E0606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E06067"/>
    <w:pPr>
      <w:keepNext/>
      <w:keepLines/>
      <w:spacing w:before="160" w:after="80" w:line="278" w:lineRule="auto"/>
      <w:outlineLvl w:val="2"/>
    </w:pPr>
    <w:rPr>
      <w:rFonts w:eastAsiaTheme="majorEastAsia"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E06067"/>
    <w:pPr>
      <w:keepNext/>
      <w:keepLines/>
      <w:spacing w:before="80" w:after="40" w:line="278" w:lineRule="auto"/>
      <w:outlineLvl w:val="3"/>
    </w:pPr>
    <w:rPr>
      <w:rFonts w:eastAsiaTheme="majorEastAsia"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E06067"/>
    <w:pPr>
      <w:keepNext/>
      <w:keepLines/>
      <w:spacing w:before="80" w:after="40" w:line="278" w:lineRule="auto"/>
      <w:outlineLvl w:val="4"/>
    </w:pPr>
    <w:rPr>
      <w:rFonts w:eastAsiaTheme="majorEastAsia"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E06067"/>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E06067"/>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E06067"/>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E06067"/>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0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0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0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0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0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067"/>
    <w:rPr>
      <w:rFonts w:eastAsiaTheme="majorEastAsia" w:cstheme="majorBidi"/>
      <w:color w:val="272727" w:themeColor="text1" w:themeTint="D8"/>
    </w:rPr>
  </w:style>
  <w:style w:type="paragraph" w:styleId="Title">
    <w:name w:val="Title"/>
    <w:basedOn w:val="Normal"/>
    <w:next w:val="Normal"/>
    <w:link w:val="TitleChar"/>
    <w:uiPriority w:val="10"/>
    <w:qFormat/>
    <w:rsid w:val="00E06067"/>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E060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067"/>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E060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067"/>
    <w:pPr>
      <w:spacing w:before="160" w:after="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E06067"/>
    <w:rPr>
      <w:i/>
      <w:iCs/>
      <w:color w:val="404040" w:themeColor="text1" w:themeTint="BF"/>
    </w:rPr>
  </w:style>
  <w:style w:type="paragraph" w:styleId="ListParagraph">
    <w:name w:val="List Paragraph"/>
    <w:basedOn w:val="Normal"/>
    <w:uiPriority w:val="34"/>
    <w:qFormat/>
    <w:rsid w:val="00E06067"/>
    <w:pPr>
      <w:spacing w:after="160"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E06067"/>
    <w:rPr>
      <w:i/>
      <w:iCs/>
      <w:color w:val="0F4761" w:themeColor="accent1" w:themeShade="BF"/>
    </w:rPr>
  </w:style>
  <w:style w:type="paragraph" w:styleId="IntenseQuote">
    <w:name w:val="Intense Quote"/>
    <w:basedOn w:val="Normal"/>
    <w:next w:val="Normal"/>
    <w:link w:val="IntenseQuoteChar"/>
    <w:uiPriority w:val="30"/>
    <w:qFormat/>
    <w:rsid w:val="00E0606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E06067"/>
    <w:rPr>
      <w:i/>
      <w:iCs/>
      <w:color w:val="0F4761" w:themeColor="accent1" w:themeShade="BF"/>
    </w:rPr>
  </w:style>
  <w:style w:type="character" w:styleId="IntenseReference">
    <w:name w:val="Intense Reference"/>
    <w:basedOn w:val="DefaultParagraphFont"/>
    <w:uiPriority w:val="32"/>
    <w:qFormat/>
    <w:rsid w:val="00E06067"/>
    <w:rPr>
      <w:b/>
      <w:bCs/>
      <w:smallCaps/>
      <w:color w:val="0F4761" w:themeColor="accent1" w:themeShade="BF"/>
      <w:spacing w:val="5"/>
    </w:rPr>
  </w:style>
  <w:style w:type="character" w:customStyle="1" w:styleId="HeaderChar">
    <w:name w:val="Header Char"/>
    <w:basedOn w:val="DefaultParagraphFont"/>
    <w:link w:val="Header"/>
    <w:uiPriority w:val="99"/>
    <w:qFormat/>
    <w:rsid w:val="00E06067"/>
  </w:style>
  <w:style w:type="paragraph" w:styleId="Header">
    <w:name w:val="header"/>
    <w:basedOn w:val="Normal"/>
    <w:link w:val="HeaderChar"/>
    <w:uiPriority w:val="99"/>
    <w:unhideWhenUsed/>
    <w:rsid w:val="00E06067"/>
    <w:pPr>
      <w:tabs>
        <w:tab w:val="center" w:pos="4252"/>
        <w:tab w:val="right" w:pos="8504"/>
      </w:tabs>
      <w:spacing w:after="0" w:line="240" w:lineRule="auto"/>
    </w:pPr>
    <w:rPr>
      <w:kern w:val="2"/>
      <w:sz w:val="24"/>
      <w:szCs w:val="24"/>
      <w:lang w:val="en-IN"/>
      <w14:ligatures w14:val="standardContextual"/>
    </w:rPr>
  </w:style>
  <w:style w:type="character" w:customStyle="1" w:styleId="HeaderChar1">
    <w:name w:val="Header Char1"/>
    <w:basedOn w:val="DefaultParagraphFont"/>
    <w:uiPriority w:val="99"/>
    <w:semiHidden/>
    <w:rsid w:val="00E06067"/>
    <w:rPr>
      <w:kern w:val="0"/>
      <w:sz w:val="22"/>
      <w:szCs w:val="22"/>
      <w:lang w:val="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395</Words>
  <Characters>2256</Characters>
  <Application>Microsoft Office Word</Application>
  <DocSecurity>0</DocSecurity>
  <Lines>18</Lines>
  <Paragraphs>5</Paragraphs>
  <ScaleCrop>false</ScaleCrop>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Trupti Sudge</dc:creator>
  <cp:keywords/>
  <dc:description/>
  <cp:lastModifiedBy>Trupti Sudge</cp:lastModifiedBy>
  <cp:revision>2</cp:revision>
  <dcterms:created xsi:type="dcterms:W3CDTF">2026-06-02T22:51:00Z</dcterms:created>
  <dcterms:modified xsi:type="dcterms:W3CDTF">2026-06-02T22:53:00Z</dcterms:modified>
</cp:coreProperties>
</file>