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left"/>
      </w:pPr>
      <w:r>
        <w:rPr>
          <w:b/>
          <w:color w:val="1F3A5F"/>
          <w:sz w:val="36"/>
        </w:rPr>
        <w:t>Additional file 1</w:t>
      </w:r>
    </w:p>
    <w:p>
      <w:pPr>
        <w:spacing w:after="160"/>
      </w:pPr>
      <w:r>
        <w:rPr>
          <w:b/>
          <w:color w:val="1F3A5F"/>
          <w:sz w:val="26"/>
        </w:rPr>
        <w:t>Complete electronic search strategies for all information sources</w:t>
      </w:r>
    </w:p>
    <w:p>
      <w:pPr>
        <w:spacing w:after="120"/>
      </w:pPr>
      <w:r>
        <w:rPr>
          <w:b w:val="0"/>
          <w:i/>
          <w:color w:val="555555"/>
          <w:sz w:val="20"/>
        </w:rPr>
        <w:t>Manuscript: Nurse-led supportive care interventions for adults with type 2 diabetes and/or obesity receiving glucagon-like peptide-1 receptor agonists: a scoping review.</w:t>
      </w:r>
    </w:p>
    <w:p>
      <w:pPr>
        <w:spacing w:after="200"/>
      </w:pPr>
      <w:r>
        <w:rPr>
          <w:b w:val="0"/>
          <w:i w:val="0"/>
          <w:color w:val="555555"/>
          <w:sz w:val="20"/>
        </w:rPr>
        <w:t>Reported in accordance with PRISMA-S and PRISMA-ScR. The strategies reproduced below correspond to the registered protocol (Open Science Framework, version 2.5.6; DOI: 10.17605/OSF.IO/A7WMB), §7. Searches combined three concept blocks — GLP-1 receptor agonist drug terms, nurse/nursing terms, and obesity/type 2 diabetes population terms — using controlled vocabulary and free-text terms. Context elements (setting, treatment phase) were not built into the search strings and were applied at screening to preserve sensitivity. All strategies were peer-reviewed against the PRESS 2015 checklist before execution.</w:t>
      </w:r>
    </w:p>
    <w:p>
      <w:pPr>
        <w:spacing w:before="280" w:after="120"/>
      </w:pPr>
      <w:r>
        <w:rPr>
          <w:rFonts w:ascii="Calibri" w:hAnsi="Calibri"/>
          <w:b/>
          <w:color w:val="1F3A5F"/>
          <w:sz w:val="26"/>
        </w:rPr>
        <w:t>1. Summary of information sources, dates and yield</w:t>
      </w:r>
    </w:p>
    <w:p>
      <w:pPr>
        <w:spacing w:after="120"/>
      </w:pPr>
      <w:r>
        <w:rPr>
          <w:b w:val="0"/>
          <w:i w:val="0"/>
          <w:color w:val="555555"/>
          <w:sz w:val="20"/>
        </w:rPr>
        <w:t>All databases were searched from 1 January 2015 (the period following liraglutide’s approval for weight management) to the search date, with an updated search run shortly before submission. Record counts correspond to the PRISMA-ScR flow diagram (Figure 1).</w:t>
      </w:r>
    </w:p>
    <w:tbl>
      <w:tblPr>
        <w:tblW w:type="auto" w:w="0"/>
        <w:jc w:val="left"/>
        <w:tblLook w:firstColumn="1" w:firstRow="1" w:lastColumn="0" w:lastRow="0" w:noHBand="0" w:noVBand="1" w:val="04A0"/>
        <w:tblBorders>
          <w:top w:val="single" w:sz="4" w:color="BFC9D4"/>
          <w:left w:val="single" w:sz="4" w:color="BFC9D4"/>
          <w:bottom w:val="single" w:sz="4" w:color="BFC9D4"/>
          <w:right w:val="single" w:sz="4" w:color="BFC9D4"/>
          <w:insideH w:val="single" w:sz="4" w:color="BFC9D4"/>
          <w:insideV w:val="single" w:sz="4" w:color="BFC9D4"/>
        </w:tblBorders>
      </w:tblPr>
      <w:tblGrid>
        <w:gridCol w:w="2160"/>
        <w:gridCol w:w="2160"/>
        <w:gridCol w:w="2160"/>
        <w:gridCol w:w="2160"/>
      </w:tblGrid>
      <w:tr>
        <w:tc>
          <w:tcPr>
            <w:tcW w:type="dxa" w:w="3888"/>
            <w:shd w:val="clear" w:color="auto" w:fill="1F3A5F"/>
          </w:tcPr>
          <w:p>
            <w:pPr>
              <w:spacing w:after="40" w:before="40"/>
            </w:pPr>
            <w:r>
              <w:rPr>
                <w:b/>
                <w:color w:val="FFFFFF"/>
                <w:sz w:val="18"/>
              </w:rPr>
              <w:t>Source</w:t>
            </w:r>
          </w:p>
        </w:tc>
        <w:tc>
          <w:tcPr>
            <w:tcW w:type="dxa" w:w="2736"/>
            <w:shd w:val="clear" w:color="auto" w:fill="1F3A5F"/>
          </w:tcPr>
          <w:p>
            <w:pPr>
              <w:spacing w:after="40" w:before="40"/>
            </w:pPr>
            <w:r>
              <w:rPr>
                <w:b/>
                <w:color w:val="FFFFFF"/>
                <w:sz w:val="18"/>
              </w:rPr>
              <w:t>Platform / interface</w:t>
            </w:r>
          </w:p>
        </w:tc>
        <w:tc>
          <w:tcPr>
            <w:tcW w:type="dxa" w:w="1728"/>
            <w:shd w:val="clear" w:color="auto" w:fill="1F3A5F"/>
          </w:tcPr>
          <w:p>
            <w:pPr>
              <w:spacing w:after="40" w:before="40"/>
            </w:pPr>
            <w:r>
              <w:rPr>
                <w:b/>
                <w:color w:val="FFFFFF"/>
                <w:sz w:val="18"/>
              </w:rPr>
              <w:t>Field(s)</w:t>
            </w:r>
          </w:p>
        </w:tc>
        <w:tc>
          <w:tcPr>
            <w:tcW w:type="dxa" w:w="1008"/>
            <w:shd w:val="clear" w:color="auto" w:fill="1F3A5F"/>
          </w:tcPr>
          <w:p>
            <w:pPr>
              <w:spacing w:after="40" w:before="40"/>
            </w:pPr>
            <w:r>
              <w:rPr>
                <w:b/>
                <w:color w:val="FFFFFF"/>
                <w:sz w:val="18"/>
              </w:rPr>
              <w:t>Records</w:t>
            </w:r>
          </w:p>
        </w:tc>
      </w:tr>
      <w:tr>
        <w:tc>
          <w:tcPr>
            <w:tcW w:type="dxa" w:w="3888"/>
            <w:shd w:val="clear" w:color="auto" w:fill="DCE5EF"/>
          </w:tcPr>
          <w:p>
            <w:pPr>
              <w:spacing w:after="40" w:before="40"/>
            </w:pPr>
            <w:r>
              <w:rPr>
                <w:b/>
                <w:i/>
                <w:color w:val="1F3A5F"/>
                <w:sz w:val="18"/>
              </w:rPr>
              <w:t>English-language bibliographic databases</w:t>
            </w:r>
          </w:p>
        </w:tc>
        <w:tc>
          <w:tcPr>
            <w:tcW w:type="dxa" w:w="2736"/>
            <w:shd w:val="clear" w:color="auto" w:fill="DCE5EF"/>
          </w:tcPr>
          <w:p>
            <w:pPr>
              <w:spacing w:after="40" w:before="40"/>
            </w:pPr>
            <w:r>
              <w:rPr>
                <w:b/>
                <w:i/>
                <w:color w:val="1F3A5F"/>
                <w:sz w:val="18"/>
              </w:rPr>
            </w:r>
          </w:p>
        </w:tc>
        <w:tc>
          <w:tcPr>
            <w:tcW w:type="dxa" w:w="1728"/>
            <w:shd w:val="clear" w:color="auto" w:fill="DCE5EF"/>
          </w:tcPr>
          <w:p>
            <w:pPr>
              <w:spacing w:after="40" w:before="40"/>
            </w:pPr>
            <w:r>
              <w:rPr>
                <w:b/>
                <w:i/>
                <w:color w:val="1F3A5F"/>
                <w:sz w:val="18"/>
              </w:rPr>
            </w:r>
          </w:p>
        </w:tc>
        <w:tc>
          <w:tcPr>
            <w:tcW w:type="dxa" w:w="1008"/>
            <w:shd w:val="clear" w:color="auto" w:fill="DCE5EF"/>
          </w:tcPr>
          <w:p>
            <w:pPr>
              <w:spacing w:after="40" w:before="40"/>
              <w:jc w:val="center"/>
            </w:pPr>
            <w:r>
              <w:rPr>
                <w:b/>
                <w:i/>
                <w:color w:val="1F3A5F"/>
                <w:sz w:val="18"/>
              </w:rPr>
            </w:r>
          </w:p>
        </w:tc>
      </w:tr>
      <w:tr>
        <w:tc>
          <w:tcPr>
            <w:tcW w:type="dxa" w:w="3888"/>
          </w:tcPr>
          <w:p>
            <w:pPr>
              <w:spacing w:after="40" w:before="40"/>
            </w:pPr>
            <w:r>
              <w:rPr>
                <w:sz w:val="18"/>
              </w:rPr>
              <w:t>PubMed / MEDLINE</w:t>
            </w:r>
          </w:p>
        </w:tc>
        <w:tc>
          <w:tcPr>
            <w:tcW w:type="dxa" w:w="2736"/>
          </w:tcPr>
          <w:p>
            <w:pPr>
              <w:spacing w:after="40" w:before="40"/>
            </w:pPr>
            <w:r>
              <w:rPr>
                <w:sz w:val="18"/>
              </w:rPr>
              <w:t>NLM (NIH)</w:t>
            </w:r>
          </w:p>
        </w:tc>
        <w:tc>
          <w:tcPr>
            <w:tcW w:type="dxa" w:w="1728"/>
          </w:tcPr>
          <w:p>
            <w:pPr>
              <w:spacing w:after="40" w:before="40"/>
            </w:pPr>
            <w:r>
              <w:rPr>
                <w:sz w:val="18"/>
              </w:rPr>
              <w:t>MeSH + tiab</w:t>
            </w:r>
          </w:p>
        </w:tc>
        <w:tc>
          <w:tcPr>
            <w:tcW w:type="dxa" w:w="1008"/>
          </w:tcPr>
          <w:p>
            <w:pPr>
              <w:spacing w:after="40" w:before="40"/>
              <w:jc w:val="center"/>
            </w:pPr>
            <w:r>
              <w:rPr>
                <w:sz w:val="18"/>
              </w:rPr>
              <w:t>35</w:t>
            </w:r>
          </w:p>
        </w:tc>
      </w:tr>
      <w:tr>
        <w:tc>
          <w:tcPr>
            <w:tcW w:type="dxa" w:w="3888"/>
          </w:tcPr>
          <w:p>
            <w:pPr>
              <w:spacing w:after="40" w:before="40"/>
            </w:pPr>
            <w:r>
              <w:rPr>
                <w:sz w:val="18"/>
              </w:rPr>
              <w:t>Embase</w:t>
            </w:r>
          </w:p>
        </w:tc>
        <w:tc>
          <w:tcPr>
            <w:tcW w:type="dxa" w:w="2736"/>
          </w:tcPr>
          <w:p>
            <w:pPr>
              <w:spacing w:after="40" w:before="40"/>
            </w:pPr>
            <w:r>
              <w:rPr>
                <w:sz w:val="18"/>
              </w:rPr>
              <w:t>Elsevier</w:t>
            </w:r>
          </w:p>
        </w:tc>
        <w:tc>
          <w:tcPr>
            <w:tcW w:type="dxa" w:w="1728"/>
          </w:tcPr>
          <w:p>
            <w:pPr>
              <w:spacing w:after="40" w:before="40"/>
            </w:pPr>
            <w:r>
              <w:rPr>
                <w:sz w:val="18"/>
              </w:rPr>
              <w:t>Emtree + ti,ab,kw</w:t>
            </w:r>
          </w:p>
        </w:tc>
        <w:tc>
          <w:tcPr>
            <w:tcW w:type="dxa" w:w="1008"/>
          </w:tcPr>
          <w:p>
            <w:pPr>
              <w:spacing w:after="40" w:before="40"/>
              <w:jc w:val="center"/>
            </w:pPr>
            <w:r>
              <w:rPr>
                <w:sz w:val="18"/>
              </w:rPr>
              <w:t>121</w:t>
            </w:r>
          </w:p>
        </w:tc>
      </w:tr>
      <w:tr>
        <w:tc>
          <w:tcPr>
            <w:tcW w:type="dxa" w:w="3888"/>
          </w:tcPr>
          <w:p>
            <w:pPr>
              <w:spacing w:after="40" w:before="40"/>
            </w:pPr>
            <w:r>
              <w:rPr>
                <w:sz w:val="18"/>
              </w:rPr>
              <w:t>CINAHL Complete</w:t>
            </w:r>
          </w:p>
        </w:tc>
        <w:tc>
          <w:tcPr>
            <w:tcW w:type="dxa" w:w="2736"/>
          </w:tcPr>
          <w:p>
            <w:pPr>
              <w:spacing w:after="40" w:before="40"/>
            </w:pPr>
            <w:r>
              <w:rPr>
                <w:sz w:val="18"/>
              </w:rPr>
              <w:t>EBSCOhost</w:t>
            </w:r>
          </w:p>
        </w:tc>
        <w:tc>
          <w:tcPr>
            <w:tcW w:type="dxa" w:w="1728"/>
          </w:tcPr>
          <w:p>
            <w:pPr>
              <w:spacing w:after="40" w:before="40"/>
            </w:pPr>
            <w:r>
              <w:rPr>
                <w:sz w:val="18"/>
              </w:rPr>
              <w:t>CINAHL Headings + TI/AB</w:t>
            </w:r>
          </w:p>
        </w:tc>
        <w:tc>
          <w:tcPr>
            <w:tcW w:type="dxa" w:w="1008"/>
          </w:tcPr>
          <w:p>
            <w:pPr>
              <w:spacing w:after="40" w:before="40"/>
              <w:jc w:val="center"/>
            </w:pPr>
            <w:r>
              <w:rPr>
                <w:sz w:val="18"/>
              </w:rPr>
              <w:t>30</w:t>
            </w:r>
          </w:p>
        </w:tc>
      </w:tr>
      <w:tr>
        <w:tc>
          <w:tcPr>
            <w:tcW w:type="dxa" w:w="3888"/>
          </w:tcPr>
          <w:p>
            <w:pPr>
              <w:spacing w:after="40" w:before="40"/>
            </w:pPr>
            <w:r>
              <w:rPr>
                <w:sz w:val="18"/>
              </w:rPr>
              <w:t>Scopus</w:t>
            </w:r>
          </w:p>
        </w:tc>
        <w:tc>
          <w:tcPr>
            <w:tcW w:type="dxa" w:w="2736"/>
          </w:tcPr>
          <w:p>
            <w:pPr>
              <w:spacing w:after="40" w:before="40"/>
            </w:pPr>
            <w:r>
              <w:rPr>
                <w:sz w:val="18"/>
              </w:rPr>
              <w:t>Elsevier</w:t>
            </w:r>
          </w:p>
        </w:tc>
        <w:tc>
          <w:tcPr>
            <w:tcW w:type="dxa" w:w="1728"/>
          </w:tcPr>
          <w:p>
            <w:pPr>
              <w:spacing w:after="40" w:before="40"/>
            </w:pPr>
            <w:r>
              <w:rPr>
                <w:sz w:val="18"/>
              </w:rPr>
              <w:t>TITLE-ABS-KEY</w:t>
            </w:r>
          </w:p>
        </w:tc>
        <w:tc>
          <w:tcPr>
            <w:tcW w:type="dxa" w:w="1008"/>
          </w:tcPr>
          <w:p>
            <w:pPr>
              <w:spacing w:after="40" w:before="40"/>
              <w:jc w:val="center"/>
            </w:pPr>
            <w:r>
              <w:rPr>
                <w:sz w:val="18"/>
              </w:rPr>
              <w:t>136</w:t>
            </w:r>
          </w:p>
        </w:tc>
      </w:tr>
      <w:tr>
        <w:tc>
          <w:tcPr>
            <w:tcW w:type="dxa" w:w="3888"/>
          </w:tcPr>
          <w:p>
            <w:pPr>
              <w:spacing w:after="40" w:before="40"/>
            </w:pPr>
            <w:r>
              <w:rPr>
                <w:sz w:val="18"/>
              </w:rPr>
              <w:t>Web of Science Core Collection</w:t>
            </w:r>
          </w:p>
        </w:tc>
        <w:tc>
          <w:tcPr>
            <w:tcW w:type="dxa" w:w="2736"/>
          </w:tcPr>
          <w:p>
            <w:pPr>
              <w:spacing w:after="40" w:before="40"/>
            </w:pPr>
            <w:r>
              <w:rPr>
                <w:sz w:val="18"/>
              </w:rPr>
              <w:t>Clarivate</w:t>
            </w:r>
          </w:p>
        </w:tc>
        <w:tc>
          <w:tcPr>
            <w:tcW w:type="dxa" w:w="1728"/>
          </w:tcPr>
          <w:p>
            <w:pPr>
              <w:spacing w:after="40" w:before="40"/>
            </w:pPr>
            <w:r>
              <w:rPr>
                <w:sz w:val="18"/>
              </w:rPr>
              <w:t>Topic (TS)</w:t>
            </w:r>
          </w:p>
        </w:tc>
        <w:tc>
          <w:tcPr>
            <w:tcW w:type="dxa" w:w="1008"/>
          </w:tcPr>
          <w:p>
            <w:pPr>
              <w:spacing w:after="40" w:before="40"/>
              <w:jc w:val="center"/>
            </w:pPr>
            <w:r>
              <w:rPr>
                <w:sz w:val="18"/>
              </w:rPr>
              <w:t>33</w:t>
            </w:r>
          </w:p>
        </w:tc>
      </w:tr>
      <w:tr>
        <w:tc>
          <w:tcPr>
            <w:tcW w:type="dxa" w:w="3888"/>
          </w:tcPr>
          <w:p>
            <w:pPr>
              <w:spacing w:after="40" w:before="40"/>
            </w:pPr>
            <w:r>
              <w:rPr>
                <w:sz w:val="18"/>
              </w:rPr>
              <w:t>Cochrane Library (CENTRAL)</w:t>
            </w:r>
          </w:p>
        </w:tc>
        <w:tc>
          <w:tcPr>
            <w:tcW w:type="dxa" w:w="2736"/>
          </w:tcPr>
          <w:p>
            <w:pPr>
              <w:spacing w:after="40" w:before="40"/>
            </w:pPr>
            <w:r>
              <w:rPr>
                <w:sz w:val="18"/>
              </w:rPr>
              <w:t>Cochrane</w:t>
            </w:r>
          </w:p>
        </w:tc>
        <w:tc>
          <w:tcPr>
            <w:tcW w:type="dxa" w:w="1728"/>
          </w:tcPr>
          <w:p>
            <w:pPr>
              <w:spacing w:after="40" w:before="40"/>
            </w:pPr>
            <w:r>
              <w:rPr>
                <w:sz w:val="18"/>
              </w:rPr>
              <w:t>MeSH + ti,ab,kw</w:t>
            </w:r>
          </w:p>
        </w:tc>
        <w:tc>
          <w:tcPr>
            <w:tcW w:type="dxa" w:w="1008"/>
          </w:tcPr>
          <w:p>
            <w:pPr>
              <w:spacing w:after="40" w:before="40"/>
              <w:jc w:val="center"/>
            </w:pPr>
            <w:r>
              <w:rPr>
                <w:sz w:val="18"/>
              </w:rPr>
              <w:t>48</w:t>
            </w:r>
          </w:p>
        </w:tc>
      </w:tr>
      <w:tr>
        <w:tc>
          <w:tcPr>
            <w:tcW w:type="dxa" w:w="3888"/>
            <w:shd w:val="clear" w:color="auto" w:fill="DCE5EF"/>
          </w:tcPr>
          <w:p>
            <w:pPr>
              <w:spacing w:after="40" w:before="40"/>
            </w:pPr>
            <w:r>
              <w:rPr>
                <w:b/>
                <w:i/>
                <w:color w:val="1F3A5F"/>
                <w:sz w:val="18"/>
              </w:rPr>
              <w:t>Chinese-language bibliographic databases</w:t>
            </w:r>
          </w:p>
        </w:tc>
        <w:tc>
          <w:tcPr>
            <w:tcW w:type="dxa" w:w="2736"/>
            <w:shd w:val="clear" w:color="auto" w:fill="DCE5EF"/>
          </w:tcPr>
          <w:p>
            <w:pPr>
              <w:spacing w:after="40" w:before="40"/>
            </w:pPr>
            <w:r>
              <w:rPr>
                <w:b/>
                <w:i/>
                <w:color w:val="1F3A5F"/>
                <w:sz w:val="18"/>
              </w:rPr>
            </w:r>
          </w:p>
        </w:tc>
        <w:tc>
          <w:tcPr>
            <w:tcW w:type="dxa" w:w="1728"/>
            <w:shd w:val="clear" w:color="auto" w:fill="DCE5EF"/>
          </w:tcPr>
          <w:p>
            <w:pPr>
              <w:spacing w:after="40" w:before="40"/>
            </w:pPr>
            <w:r>
              <w:rPr>
                <w:b/>
                <w:i/>
                <w:color w:val="1F3A5F"/>
                <w:sz w:val="18"/>
              </w:rPr>
            </w:r>
          </w:p>
        </w:tc>
        <w:tc>
          <w:tcPr>
            <w:tcW w:type="dxa" w:w="1008"/>
            <w:shd w:val="clear" w:color="auto" w:fill="DCE5EF"/>
          </w:tcPr>
          <w:p>
            <w:pPr>
              <w:spacing w:after="40" w:before="40"/>
              <w:jc w:val="center"/>
            </w:pPr>
            <w:r>
              <w:rPr>
                <w:b/>
                <w:i/>
                <w:color w:val="1F3A5F"/>
                <w:sz w:val="18"/>
              </w:rPr>
            </w:r>
          </w:p>
        </w:tc>
      </w:tr>
      <w:tr>
        <w:tc>
          <w:tcPr>
            <w:tcW w:type="dxa" w:w="3888"/>
          </w:tcPr>
          <w:p>
            <w:pPr>
              <w:spacing w:after="40" w:before="40"/>
            </w:pPr>
            <w:r>
              <w:rPr>
                <w:sz w:val="18"/>
              </w:rPr>
              <w:t>CNKI (China National Knowledge Infrastructure)</w:t>
            </w:r>
          </w:p>
        </w:tc>
        <w:tc>
          <w:tcPr>
            <w:tcW w:type="dxa" w:w="2736"/>
          </w:tcPr>
          <w:p>
            <w:pPr>
              <w:spacing w:after="40" w:before="40"/>
            </w:pPr>
            <w:r>
              <w:rPr>
                <w:sz w:val="18"/>
              </w:rPr>
              <w:t>CNKI professional search</w:t>
            </w:r>
          </w:p>
        </w:tc>
        <w:tc>
          <w:tcPr>
            <w:tcW w:type="dxa" w:w="1728"/>
          </w:tcPr>
          <w:p>
            <w:pPr>
              <w:spacing w:after="40" w:before="40"/>
            </w:pPr>
            <w:r>
              <w:rPr>
                <w:sz w:val="18"/>
              </w:rPr>
              <w:t>SU (subject)</w:t>
            </w:r>
          </w:p>
        </w:tc>
        <w:tc>
          <w:tcPr>
            <w:tcW w:type="dxa" w:w="1008"/>
          </w:tcPr>
          <w:p>
            <w:pPr>
              <w:spacing w:after="40" w:before="40"/>
              <w:jc w:val="center"/>
            </w:pPr>
            <w:r>
              <w:rPr>
                <w:sz w:val="18"/>
              </w:rPr>
              <w:t>150</w:t>
            </w:r>
          </w:p>
        </w:tc>
      </w:tr>
      <w:tr>
        <w:tc>
          <w:tcPr>
            <w:tcW w:type="dxa" w:w="3888"/>
          </w:tcPr>
          <w:p>
            <w:pPr>
              <w:spacing w:after="40" w:before="40"/>
            </w:pPr>
            <w:r>
              <w:rPr>
                <w:sz w:val="18"/>
              </w:rPr>
              <w:t>Wanfang Data</w:t>
            </w:r>
          </w:p>
        </w:tc>
        <w:tc>
          <w:tcPr>
            <w:tcW w:type="dxa" w:w="2736"/>
          </w:tcPr>
          <w:p>
            <w:pPr>
              <w:spacing w:after="40" w:before="40"/>
            </w:pPr>
            <w:r>
              <w:rPr>
                <w:sz w:val="18"/>
              </w:rPr>
              <w:t>Wanfang</w:t>
            </w:r>
          </w:p>
        </w:tc>
        <w:tc>
          <w:tcPr>
            <w:tcW w:type="dxa" w:w="1728"/>
          </w:tcPr>
          <w:p>
            <w:pPr>
              <w:spacing w:after="40" w:before="40"/>
            </w:pPr>
            <w:r>
              <w:rPr>
                <w:sz w:val="18"/>
              </w:rPr>
              <w:t>Subject</w:t>
            </w:r>
          </w:p>
        </w:tc>
        <w:tc>
          <w:tcPr>
            <w:tcW w:type="dxa" w:w="1008"/>
          </w:tcPr>
          <w:p>
            <w:pPr>
              <w:spacing w:after="40" w:before="40"/>
              <w:jc w:val="center"/>
            </w:pPr>
            <w:r>
              <w:rPr>
                <w:sz w:val="18"/>
              </w:rPr>
              <w:t>55</w:t>
            </w:r>
          </w:p>
        </w:tc>
      </w:tr>
      <w:tr>
        <w:tc>
          <w:tcPr>
            <w:tcW w:type="dxa" w:w="3888"/>
          </w:tcPr>
          <w:p>
            <w:pPr>
              <w:spacing w:after="40" w:before="40"/>
            </w:pPr>
            <w:r>
              <w:rPr>
                <w:sz w:val="18"/>
              </w:rPr>
              <w:t>VIP (Chinese Sci-Tech Periodical Database)</w:t>
            </w:r>
          </w:p>
        </w:tc>
        <w:tc>
          <w:tcPr>
            <w:tcW w:type="dxa" w:w="2736"/>
          </w:tcPr>
          <w:p>
            <w:pPr>
              <w:spacing w:after="40" w:before="40"/>
            </w:pPr>
            <w:r>
              <w:rPr>
                <w:sz w:val="18"/>
              </w:rPr>
              <w:t>VIP</w:t>
            </w:r>
          </w:p>
        </w:tc>
        <w:tc>
          <w:tcPr>
            <w:tcW w:type="dxa" w:w="1728"/>
          </w:tcPr>
          <w:p>
            <w:pPr>
              <w:spacing w:after="40" w:before="40"/>
            </w:pPr>
            <w:r>
              <w:rPr>
                <w:sz w:val="18"/>
              </w:rPr>
              <w:t>M / R fields</w:t>
            </w:r>
          </w:p>
        </w:tc>
        <w:tc>
          <w:tcPr>
            <w:tcW w:type="dxa" w:w="1008"/>
          </w:tcPr>
          <w:p>
            <w:pPr>
              <w:spacing w:after="40" w:before="40"/>
              <w:jc w:val="center"/>
            </w:pPr>
            <w:r>
              <w:rPr>
                <w:sz w:val="18"/>
              </w:rPr>
              <w:t>34</w:t>
            </w:r>
          </w:p>
        </w:tc>
      </w:tr>
      <w:tr>
        <w:tc>
          <w:tcPr>
            <w:tcW w:type="dxa" w:w="3888"/>
          </w:tcPr>
          <w:p>
            <w:pPr>
              <w:spacing w:after="40" w:before="40"/>
            </w:pPr>
            <w:r>
              <w:rPr>
                <w:sz w:val="18"/>
              </w:rPr>
              <w:t>SinoMed</w:t>
            </w:r>
          </w:p>
        </w:tc>
        <w:tc>
          <w:tcPr>
            <w:tcW w:type="dxa" w:w="2736"/>
          </w:tcPr>
          <w:p>
            <w:pPr>
              <w:spacing w:after="40" w:before="40"/>
            </w:pPr>
            <w:r>
              <w:rPr>
                <w:sz w:val="18"/>
              </w:rPr>
              <w:t>IMICAMS</w:t>
            </w:r>
          </w:p>
        </w:tc>
        <w:tc>
          <w:tcPr>
            <w:tcW w:type="dxa" w:w="1728"/>
          </w:tcPr>
          <w:p>
            <w:pPr>
              <w:spacing w:after="40" w:before="40"/>
            </w:pPr>
            <w:r>
              <w:rPr>
                <w:sz w:val="18"/>
              </w:rPr>
              <w:t>Subject + all-field</w:t>
            </w:r>
          </w:p>
        </w:tc>
        <w:tc>
          <w:tcPr>
            <w:tcW w:type="dxa" w:w="1008"/>
          </w:tcPr>
          <w:p>
            <w:pPr>
              <w:spacing w:after="40" w:before="40"/>
              <w:jc w:val="center"/>
            </w:pPr>
            <w:r>
              <w:rPr>
                <w:sz w:val="18"/>
              </w:rPr>
              <w:t>6</w:t>
            </w:r>
          </w:p>
        </w:tc>
      </w:tr>
      <w:tr>
        <w:tc>
          <w:tcPr>
            <w:tcW w:type="dxa" w:w="3888"/>
            <w:shd w:val="clear" w:color="auto" w:fill="DCE5EF"/>
          </w:tcPr>
          <w:p>
            <w:pPr>
              <w:spacing w:after="40" w:before="40"/>
            </w:pPr>
            <w:r>
              <w:rPr>
                <w:b/>
                <w:i/>
                <w:color w:val="1F3A5F"/>
                <w:sz w:val="18"/>
              </w:rPr>
              <w:t>Grey-literature and trial-registry sources</w:t>
            </w:r>
          </w:p>
        </w:tc>
        <w:tc>
          <w:tcPr>
            <w:tcW w:type="dxa" w:w="2736"/>
            <w:shd w:val="clear" w:color="auto" w:fill="DCE5EF"/>
          </w:tcPr>
          <w:p>
            <w:pPr>
              <w:spacing w:after="40" w:before="40"/>
            </w:pPr>
            <w:r>
              <w:rPr>
                <w:b/>
                <w:i/>
                <w:color w:val="1F3A5F"/>
                <w:sz w:val="18"/>
              </w:rPr>
            </w:r>
          </w:p>
        </w:tc>
        <w:tc>
          <w:tcPr>
            <w:tcW w:type="dxa" w:w="1728"/>
            <w:shd w:val="clear" w:color="auto" w:fill="DCE5EF"/>
          </w:tcPr>
          <w:p>
            <w:pPr>
              <w:spacing w:after="40" w:before="40"/>
            </w:pPr>
            <w:r>
              <w:rPr>
                <w:b/>
                <w:i/>
                <w:color w:val="1F3A5F"/>
                <w:sz w:val="18"/>
              </w:rPr>
            </w:r>
          </w:p>
        </w:tc>
        <w:tc>
          <w:tcPr>
            <w:tcW w:type="dxa" w:w="1008"/>
            <w:shd w:val="clear" w:color="auto" w:fill="DCE5EF"/>
          </w:tcPr>
          <w:p>
            <w:pPr>
              <w:spacing w:after="40" w:before="40"/>
              <w:jc w:val="center"/>
            </w:pPr>
            <w:r>
              <w:rPr>
                <w:b/>
                <w:i/>
                <w:color w:val="1F3A5F"/>
                <w:sz w:val="18"/>
              </w:rPr>
            </w:r>
          </w:p>
        </w:tc>
      </w:tr>
      <w:tr>
        <w:tc>
          <w:tcPr>
            <w:tcW w:type="dxa" w:w="3888"/>
          </w:tcPr>
          <w:p>
            <w:pPr>
              <w:spacing w:after="40" w:before="40"/>
            </w:pPr>
            <w:r>
              <w:rPr>
                <w:sz w:val="18"/>
              </w:rPr>
              <w:t>ProQuest Dissertations &amp; Theses Global</w:t>
            </w:r>
          </w:p>
        </w:tc>
        <w:tc>
          <w:tcPr>
            <w:tcW w:type="dxa" w:w="2736"/>
          </w:tcPr>
          <w:p>
            <w:pPr>
              <w:spacing w:after="40" w:before="40"/>
            </w:pPr>
            <w:r>
              <w:rPr>
                <w:sz w:val="18"/>
              </w:rPr>
              <w:t>ProQuest</w:t>
            </w:r>
          </w:p>
        </w:tc>
        <w:tc>
          <w:tcPr>
            <w:tcW w:type="dxa" w:w="1728"/>
          </w:tcPr>
          <w:p>
            <w:pPr>
              <w:spacing w:after="40" w:before="40"/>
            </w:pPr>
            <w:r>
              <w:rPr>
                <w:sz w:val="18"/>
              </w:rPr>
              <w:t>ab,ti,su</w:t>
            </w:r>
          </w:p>
        </w:tc>
        <w:tc>
          <w:tcPr>
            <w:tcW w:type="dxa" w:w="1008"/>
          </w:tcPr>
          <w:p>
            <w:pPr>
              <w:spacing w:after="40" w:before="40"/>
              <w:jc w:val="center"/>
            </w:pPr>
            <w:r>
              <w:rPr>
                <w:sz w:val="18"/>
              </w:rPr>
              <w:t>8</w:t>
            </w:r>
          </w:p>
        </w:tc>
      </w:tr>
      <w:tr>
        <w:tc>
          <w:tcPr>
            <w:tcW w:type="dxa" w:w="3888"/>
          </w:tcPr>
          <w:p>
            <w:pPr>
              <w:spacing w:after="40" w:before="40"/>
            </w:pPr>
            <w:r>
              <w:rPr>
                <w:sz w:val="18"/>
              </w:rPr>
              <w:t>ClinicalTrials.gov</w:t>
            </w:r>
          </w:p>
        </w:tc>
        <w:tc>
          <w:tcPr>
            <w:tcW w:type="dxa" w:w="2736"/>
          </w:tcPr>
          <w:p>
            <w:pPr>
              <w:spacing w:after="40" w:before="40"/>
            </w:pPr>
            <w:r>
              <w:rPr>
                <w:sz w:val="18"/>
              </w:rPr>
              <w:t>NLM</w:t>
            </w:r>
          </w:p>
        </w:tc>
        <w:tc>
          <w:tcPr>
            <w:tcW w:type="dxa" w:w="1728"/>
          </w:tcPr>
          <w:p>
            <w:pPr>
              <w:spacing w:after="40" w:before="40"/>
            </w:pPr>
            <w:r>
              <w:rPr>
                <w:sz w:val="18"/>
              </w:rPr>
              <w:t>Condition/Intervention/Other</w:t>
            </w:r>
          </w:p>
        </w:tc>
        <w:tc>
          <w:tcPr>
            <w:tcW w:type="dxa" w:w="1008"/>
          </w:tcPr>
          <w:p>
            <w:pPr>
              <w:spacing w:after="40" w:before="40"/>
              <w:jc w:val="center"/>
            </w:pPr>
            <w:r>
              <w:rPr>
                <w:sz w:val="18"/>
              </w:rPr>
              <w:t>3</w:t>
            </w:r>
          </w:p>
        </w:tc>
      </w:tr>
      <w:tr>
        <w:tc>
          <w:tcPr>
            <w:tcW w:type="dxa" w:w="3888"/>
          </w:tcPr>
          <w:p>
            <w:pPr>
              <w:spacing w:after="40" w:before="40"/>
            </w:pPr>
            <w:r>
              <w:rPr>
                <w:sz w:val="18"/>
              </w:rPr>
              <w:t>WHO ICTRP</w:t>
            </w:r>
          </w:p>
        </w:tc>
        <w:tc>
          <w:tcPr>
            <w:tcW w:type="dxa" w:w="2736"/>
          </w:tcPr>
          <w:p>
            <w:pPr>
              <w:spacing w:after="40" w:before="40"/>
            </w:pPr>
            <w:r>
              <w:rPr>
                <w:sz w:val="18"/>
              </w:rPr>
              <w:t>WHO</w:t>
            </w:r>
          </w:p>
        </w:tc>
        <w:tc>
          <w:tcPr>
            <w:tcW w:type="dxa" w:w="1728"/>
          </w:tcPr>
          <w:p>
            <w:pPr>
              <w:spacing w:after="40" w:before="40"/>
            </w:pPr>
            <w:r>
              <w:rPr>
                <w:sz w:val="18"/>
              </w:rPr>
              <w:t>Title/condition/intervention</w:t>
            </w:r>
          </w:p>
        </w:tc>
        <w:tc>
          <w:tcPr>
            <w:tcW w:type="dxa" w:w="1008"/>
          </w:tcPr>
          <w:p>
            <w:pPr>
              <w:spacing w:after="40" w:before="40"/>
              <w:jc w:val="center"/>
            </w:pPr>
            <w:r>
              <w:rPr>
                <w:sz w:val="18"/>
              </w:rPr>
              <w:t>2</w:t>
            </w:r>
          </w:p>
        </w:tc>
      </w:tr>
      <w:tr>
        <w:tc>
          <w:tcPr>
            <w:tcW w:type="dxa" w:w="3888"/>
          </w:tcPr>
          <w:p>
            <w:pPr>
              <w:spacing w:after="40" w:before="40"/>
            </w:pPr>
            <w:r>
              <w:rPr>
                <w:sz w:val="18"/>
              </w:rPr>
              <w:t>Hand-search / citation tracking</w:t>
            </w:r>
          </w:p>
        </w:tc>
        <w:tc>
          <w:tcPr>
            <w:tcW w:type="dxa" w:w="2736"/>
          </w:tcPr>
          <w:p>
            <w:pPr>
              <w:spacing w:after="40" w:before="40"/>
            </w:pPr>
            <w:r>
              <w:rPr>
                <w:sz w:val="18"/>
              </w:rPr>
              <w:t>Scopus / WoS; journal TOCs</w:t>
            </w:r>
          </w:p>
        </w:tc>
        <w:tc>
          <w:tcPr>
            <w:tcW w:type="dxa" w:w="1728"/>
          </w:tcPr>
          <w:p>
            <w:pPr>
              <w:spacing w:after="40" w:before="40"/>
            </w:pPr>
            <w:r>
              <w:rPr>
                <w:sz w:val="18"/>
              </w:rPr>
              <w:t>—</w:t>
            </w:r>
          </w:p>
        </w:tc>
        <w:tc>
          <w:tcPr>
            <w:tcW w:type="dxa" w:w="1008"/>
          </w:tcPr>
          <w:p>
            <w:pPr>
              <w:spacing w:after="40" w:before="40"/>
              <w:jc w:val="center"/>
            </w:pPr>
            <w:r>
              <w:rPr>
                <w:sz w:val="18"/>
              </w:rPr>
              <w:t>0</w:t>
            </w:r>
          </w:p>
        </w:tc>
      </w:tr>
      <w:tr>
        <w:tc>
          <w:tcPr>
            <w:tcW w:type="dxa" w:w="3888"/>
            <w:shd w:val="clear" w:color="auto" w:fill="EFEFEF"/>
          </w:tcPr>
          <w:p>
            <w:pPr>
              <w:spacing w:after="40" w:before="40"/>
            </w:pPr>
            <w:r>
              <w:rPr>
                <w:b/>
                <w:sz w:val="18"/>
              </w:rPr>
              <w:t>Total records identified</w:t>
            </w:r>
          </w:p>
        </w:tc>
        <w:tc>
          <w:tcPr>
            <w:tcW w:type="dxa" w:w="2736"/>
            <w:shd w:val="clear" w:color="auto" w:fill="EFEFEF"/>
          </w:tcPr>
          <w:p>
            <w:pPr>
              <w:spacing w:after="40" w:before="40"/>
            </w:pPr>
            <w:r>
              <w:rPr>
                <w:b/>
                <w:sz w:val="18"/>
              </w:rPr>
            </w:r>
          </w:p>
        </w:tc>
        <w:tc>
          <w:tcPr>
            <w:tcW w:type="dxa" w:w="1728"/>
            <w:shd w:val="clear" w:color="auto" w:fill="EFEFEF"/>
          </w:tcPr>
          <w:p>
            <w:pPr>
              <w:spacing w:after="40" w:before="40"/>
            </w:pPr>
            <w:r>
              <w:rPr>
                <w:b/>
                <w:sz w:val="18"/>
              </w:rPr>
            </w:r>
          </w:p>
        </w:tc>
        <w:tc>
          <w:tcPr>
            <w:tcW w:type="dxa" w:w="1008"/>
            <w:shd w:val="clear" w:color="auto" w:fill="EFEFEF"/>
          </w:tcPr>
          <w:p>
            <w:pPr>
              <w:spacing w:after="40" w:before="40"/>
              <w:jc w:val="center"/>
            </w:pPr>
            <w:r>
              <w:rPr>
                <w:b/>
                <w:sz w:val="18"/>
              </w:rPr>
              <w:t>661</w:t>
            </w:r>
          </w:p>
        </w:tc>
      </w:tr>
    </w:tbl>
    <w:p>
      <w:pPr>
        <w:spacing w:after="40"/>
      </w:pPr>
    </w:p>
    <w:p>
      <w:pPr>
        <w:spacing w:after="80"/>
      </w:pPr>
      <w:r>
        <w:rPr>
          <w:b w:val="0"/>
          <w:i/>
          <w:color w:val="555555"/>
          <w:sz w:val="18"/>
        </w:rPr>
        <w:t>Note. After de-duplication (230 records removed in EndNote and 6 manually in Rayyan; 236 total), 425 unique records entered title/abstract screening. Full screening outcomes are shown in Figure 1.</w:t>
      </w:r>
    </w:p>
    <w:p>
      <w:r>
        <w:br w:type="page"/>
      </w:r>
    </w:p>
    <w:p>
      <w:pPr>
        <w:spacing w:before="280" w:after="120"/>
      </w:pPr>
      <w:r>
        <w:rPr>
          <w:rFonts w:ascii="Calibri" w:hAnsi="Calibri"/>
          <w:b/>
          <w:color w:val="1F3A5F"/>
          <w:sz w:val="26"/>
        </w:rPr>
        <w:t>2. English-language databases</w:t>
      </w:r>
    </w:p>
    <w:p>
      <w:pPr>
        <w:spacing w:before="160" w:after="80"/>
      </w:pPr>
      <w:r>
        <w:rPr>
          <w:rFonts w:ascii="Calibri" w:hAnsi="Calibri"/>
          <w:b/>
          <w:color w:val="1F3A5F"/>
          <w:sz w:val="22"/>
        </w:rPr>
        <w:t>2.1  PubMed / MEDLINE (NLM)</w:t>
      </w:r>
    </w:p>
    <w:p>
      <w:pPr>
        <w:spacing w:after="80"/>
      </w:pPr>
      <w:r>
        <w:rPr>
          <w:b w:val="0"/>
          <w:i/>
          <w:color w:val="555555"/>
          <w:sz w:val="18"/>
        </w:rPr>
        <w:t>Search date range: 1 January 2015 to search date. Interface: PubMed Advanced Search Builder.</w:t>
      </w:r>
    </w:p>
    <w:tbl>
      <w:tblPr>
        <w:tblW w:type="auto" w:w="0"/>
        <w:jc w:val="left"/>
        <w:tblLook w:firstColumn="1" w:firstRow="1" w:lastColumn="0" w:lastRow="0" w:noHBand="0" w:noVBand="1" w:val="04A0"/>
        <w:tblBorders>
          <w:top w:val="single" w:sz="4" w:color="D0D7DE"/>
          <w:left w:val="single" w:sz="4" w:color="D0D7DE"/>
          <w:bottom w:val="single" w:sz="4" w:color="D0D7DE"/>
          <w:right w:val="single" w:sz="4" w:color="D0D7DE"/>
        </w:tblBorders>
      </w:tblPr>
      <w:tblGrid>
        <w:gridCol w:w="8640"/>
      </w:tblGrid>
      <w:tr>
        <w:tc>
          <w:tcPr>
            <w:tcW w:type="dxa" w:w="9360"/>
            <w:shd w:val="clear" w:color="auto" w:fill="F4F6F8"/>
          </w:tcPr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#1  "Glucagon-Like Peptide-1 Receptor"[Mesh] OR "Glucagon-Like Peptide 1"[Mesh]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OR "GLP-1"[tiab] OR "glucagon-like peptide"[tiab]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OR semaglutide[tiab] OR liraglutide[tiab] OR tirzepatide[tiab]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OR dulaglutide[tiab] OR exenatide[tiab] OR lixisenatide[tiab]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OR Ozempic[tiab] OR Wegovy[tiab] OR Rybelsus[tiab]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OR Mounjaro[tiab] OR Zepbound[tiab] OR Trulicity[tiab]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OR Saxenda[tiab] OR Victoza[tiab] OR Byetta[tiab] OR Bydureon[tiab]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OR "Liraglutide"[Mesh] OR "Exenatide"[Mesh]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OR "semaglutide"[Supplementary Concept] OR "tirzepatide"[Supplementary Concept]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OR "dulaglutide"[Supplementary Concept] OR "lixisenatide"[Supplementary Concept]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OR "Glucagon-Like Peptide-1 Receptor Agonists"[Pharmacological Action]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#2  "Nurses"[Mesh] OR "Nursing"[Mesh] OR "Nurse's Role"[Mesh]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OR "Nurse Practitioners"[Mesh] OR "Advanced Practice Nursing"[Mesh]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OR nurs*[tiab] OR "nurse-led"[tiab] OR "nurse-delivered"[tiab]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OR "nurse practitioner"[tiab] OR "advanced practice nurs*"[tiab]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OR "nurse coordinator"[tiab] OR "nurse navigator"[tiab]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OR "diabetes nurse"[tiab] OR "diabetes educator"[tiab]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#3  "Obesity"[Mesh] OR "Overweight"[Mesh] OR "Weight Loss"[Mesh]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OR obesity[tiab] OR overweight[tiab]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OR "weight management"[tiab] OR "weight loss"[tiab]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OR "Diabetes Mellitus, Type 2"[Mesh]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OR "type 2 diabet*"[tiab] OR T2DM[tiab] OR T2D[tiab]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OR "non-insulin-dependent diabet*"[tiab]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#4  #1 AND #2 AND #3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Filters: 2015/01/01:[search date][dp]; English[la];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     NOT ("Animals"[Mesh] NOT "Humans"[Mesh])</w:t>
            </w:r>
          </w:p>
        </w:tc>
      </w:tr>
    </w:tbl>
    <w:p>
      <w:pPr>
        <w:spacing w:after="80"/>
      </w:pPr>
    </w:p>
    <w:p>
      <w:pPr>
        <w:spacing w:before="160" w:after="80"/>
      </w:pPr>
      <w:r>
        <w:rPr>
          <w:rFonts w:ascii="Calibri" w:hAnsi="Calibri"/>
          <w:b/>
          <w:color w:val="1F3A5F"/>
          <w:sz w:val="22"/>
        </w:rPr>
        <w:t>2.2  Embase (Elsevier)</w:t>
      </w:r>
    </w:p>
    <w:tbl>
      <w:tblPr>
        <w:tblW w:type="auto" w:w="0"/>
        <w:jc w:val="left"/>
        <w:tblLook w:firstColumn="1" w:firstRow="1" w:lastColumn="0" w:lastRow="0" w:noHBand="0" w:noVBand="1" w:val="04A0"/>
        <w:tblBorders>
          <w:top w:val="single" w:sz="4" w:color="D0D7DE"/>
          <w:left w:val="single" w:sz="4" w:color="D0D7DE"/>
          <w:bottom w:val="single" w:sz="4" w:color="D0D7DE"/>
          <w:right w:val="single" w:sz="4" w:color="D0D7DE"/>
        </w:tblBorders>
      </w:tblPr>
      <w:tblGrid>
        <w:gridCol w:w="8640"/>
      </w:tblGrid>
      <w:tr>
        <w:tc>
          <w:tcPr>
            <w:tcW w:type="dxa" w:w="9360"/>
            <w:shd w:val="clear" w:color="auto" w:fill="F4F6F8"/>
          </w:tcPr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#1  'glucagon like peptide 1 receptor'/exp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OR 'glucagon like peptide 1 receptor agonist'/exp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OR 'glucagon like peptide 1'/exp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OR ('GLP-1' OR 'glucagon-like peptide' OR semaglutide OR liraglutide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    OR tirzepatide OR dulaglutide OR exenatide OR lixisenatide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    OR Ozempic OR Wegovy OR Rybelsus OR Mounjaro OR Zepbound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    OR Trulicity OR Saxenda OR Victoza OR Byetta OR Bydureon):ti,ab,kw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OR 'liraglutide'/exp OR 'semaglutide'/exp OR 'tirzepatide'/exp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OR 'dulaglutide'/exp OR 'exenatide'/exp OR 'lixisenatide'/exp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#2  'nurse'/exp OR 'nursing'/exp OR 'nurse practitioner'/exp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OR 'advanced practice nurse'/exp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OR (nurs* OR 'nurse-led' OR 'nurse-delivered'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    OR 'advanced practice nurs*' OR 'nurse coordinator'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    OR 'diabetes educator'):ti,ab,kw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#3  'obesity'/exp OR 'non insulin dependent diabetes mellitus'/exp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OR (obesity OR overweight OR 'weight management' OR 'weight loss'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    OR 'type 2 diabet*' OR T2DM OR T2D):ti,ab,kw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#4  #1 AND #2 AND #3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Filters: [2015-search year]/py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     AND ('article'/it OR 'conference paper'/it OR 'review'/it)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     AND english:la NOT ('animal'/exp NOT 'human'/exp)</w:t>
            </w:r>
          </w:p>
        </w:tc>
      </w:tr>
    </w:tbl>
    <w:p>
      <w:pPr>
        <w:spacing w:after="80"/>
      </w:pPr>
    </w:p>
    <w:p>
      <w:pPr>
        <w:spacing w:before="160" w:after="80"/>
      </w:pPr>
      <w:r>
        <w:rPr>
          <w:rFonts w:ascii="Calibri" w:hAnsi="Calibri"/>
          <w:b/>
          <w:color w:val="1F3A5F"/>
          <w:sz w:val="22"/>
        </w:rPr>
        <w:t>2.3  CINAHL Complete (EBSCOhost)</w:t>
      </w:r>
    </w:p>
    <w:tbl>
      <w:tblPr>
        <w:tblW w:type="auto" w:w="0"/>
        <w:jc w:val="left"/>
        <w:tblLook w:firstColumn="1" w:firstRow="1" w:lastColumn="0" w:lastRow="0" w:noHBand="0" w:noVBand="1" w:val="04A0"/>
        <w:tblBorders>
          <w:top w:val="single" w:sz="4" w:color="D0D7DE"/>
          <w:left w:val="single" w:sz="4" w:color="D0D7DE"/>
          <w:bottom w:val="single" w:sz="4" w:color="D0D7DE"/>
          <w:right w:val="single" w:sz="4" w:color="D0D7DE"/>
        </w:tblBorders>
      </w:tblPr>
      <w:tblGrid>
        <w:gridCol w:w="8640"/>
      </w:tblGrid>
      <w:tr>
        <w:tc>
          <w:tcPr>
            <w:tcW w:type="dxa" w:w="9360"/>
            <w:shd w:val="clear" w:color="auto" w:fill="F4F6F8"/>
          </w:tcPr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S1  (MH "Glucagon-Like Peptide 1+") OR (MH "Liraglutide") OR (MH "Exenatide")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OR TI ("GLP-1" OR semaglutide OR liraglutide OR tirzepatide OR lixisenatide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       OR dulaglutide OR exenatide OR Ozempic OR Wegovy OR Rybelsus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       OR Mounjaro OR Zepbound OR Trulicity OR Saxenda OR Victoza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       OR Byetta OR Bydureon)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OR AB ("GLP-1" OR semaglutide OR liraglutide OR tirzepatide OR lixisenatide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       OR dulaglutide OR exenatide OR Ozempic OR Wegovy OR Rybelsus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       OR Mounjaro OR Zepbound OR Trulicity OR Saxenda OR Victoza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       OR Byetta OR Bydureon)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S2  (MH "Nurses+") OR (MH "Nursing Role") OR (MH "Nurse Specialists+")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OR (MH "Nurse Practitioners+") OR (MH "Diabetes Educators")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OR (MH "Advanced Practice Nurses+")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OR TI (nurs* OR "nurse-led" OR "nurse-delivered" OR "nurse coordinator"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       OR "diabetes educator")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OR AB (nurs* OR "nurse-led" OR "nurse-delivered"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       OR "advanced practice nurs*" OR "nurse coordinator")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S3  (MH "Obesity+") OR (MH "Diabetes Mellitus, Type 2+")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OR (MH "Weight Loss")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OR TI (obesity OR overweight OR "weight management"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       OR "type 2 diabetes" OR T2DM)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OR AB (obesity OR overweight OR "weight management"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       OR "type 2 diabetes" OR T2DM)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S4  S1 AND S2 AND S3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Limiters: Published Date 2015-01-01 onward; Peer Reviewed; English;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      Exclude MEDLINE records (to avoid duplication with PubMed)</w:t>
            </w:r>
          </w:p>
        </w:tc>
      </w:tr>
    </w:tbl>
    <w:p>
      <w:pPr>
        <w:spacing w:after="80"/>
      </w:pPr>
    </w:p>
    <w:p>
      <w:pPr>
        <w:spacing w:before="160" w:after="80"/>
      </w:pPr>
      <w:r>
        <w:rPr>
          <w:rFonts w:ascii="Calibri" w:hAnsi="Calibri"/>
          <w:b/>
          <w:color w:val="1F3A5F"/>
          <w:sz w:val="22"/>
        </w:rPr>
        <w:t>2.4  Scopus (Elsevier)</w:t>
      </w:r>
    </w:p>
    <w:tbl>
      <w:tblPr>
        <w:tblW w:type="auto" w:w="0"/>
        <w:jc w:val="left"/>
        <w:tblLook w:firstColumn="1" w:firstRow="1" w:lastColumn="0" w:lastRow="0" w:noHBand="0" w:noVBand="1" w:val="04A0"/>
        <w:tblBorders>
          <w:top w:val="single" w:sz="4" w:color="D0D7DE"/>
          <w:left w:val="single" w:sz="4" w:color="D0D7DE"/>
          <w:bottom w:val="single" w:sz="4" w:color="D0D7DE"/>
          <w:right w:val="single" w:sz="4" w:color="D0D7DE"/>
        </w:tblBorders>
      </w:tblPr>
      <w:tblGrid>
        <w:gridCol w:w="8640"/>
      </w:tblGrid>
      <w:tr>
        <w:tc>
          <w:tcPr>
            <w:tcW w:type="dxa" w:w="9360"/>
            <w:shd w:val="clear" w:color="auto" w:fill="F4F6F8"/>
          </w:tcPr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TITLE-ABS-KEY ( "GLP-1" OR "glucagon-like peptide"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            OR semaglutide OR liraglutide OR tirzepatide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            OR dulaglutide OR exenatide OR lixisenatide OR Ozempic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            OR Wegovy OR Mounjaro OR Zepbound OR Rybelsus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            OR Trulicity OR Saxenda OR Victoza OR Byetta OR Bydureon )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AND TITLE-ABS-KEY ( nurs* OR "nurse-led" OR "nurse-delivered"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                OR "advanced practice" OR "nurse coordinator"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                OR "diabetes educator" )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AND TITLE-ABS-KEY ( obesity OR overweight OR "weight management"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                OR "weight loss" OR "type 2 diabetes"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                OR T2DM OR T2D )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AND PUBYEAR &gt; 2014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AND ( LIMIT-TO ( DOCTYPE, "ar" ) OR LIMIT-TO ( DOCTYPE, "re" )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  OR LIMIT-TO ( DOCTYPE, "cp" ) )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AND ( LIMIT-TO ( LANGUAGE, "English" ) )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Note. SUBJAREA restriction not applied by default; to be enabled only if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post-deduplication yield exceeded 2000 records (recorded in OSF Amendment Log).</w:t>
            </w:r>
          </w:p>
        </w:tc>
      </w:tr>
    </w:tbl>
    <w:p>
      <w:pPr>
        <w:spacing w:after="80"/>
      </w:pPr>
    </w:p>
    <w:p>
      <w:pPr>
        <w:spacing w:before="160" w:after="80"/>
      </w:pPr>
      <w:r>
        <w:rPr>
          <w:rFonts w:ascii="Calibri" w:hAnsi="Calibri"/>
          <w:b/>
          <w:color w:val="1F3A5F"/>
          <w:sz w:val="22"/>
        </w:rPr>
        <w:t>2.5  Web of Science Core Collection (Clarivate)</w:t>
      </w:r>
    </w:p>
    <w:tbl>
      <w:tblPr>
        <w:tblW w:type="auto" w:w="0"/>
        <w:jc w:val="left"/>
        <w:tblLook w:firstColumn="1" w:firstRow="1" w:lastColumn="0" w:lastRow="0" w:noHBand="0" w:noVBand="1" w:val="04A0"/>
        <w:tblBorders>
          <w:top w:val="single" w:sz="4" w:color="D0D7DE"/>
          <w:left w:val="single" w:sz="4" w:color="D0D7DE"/>
          <w:bottom w:val="single" w:sz="4" w:color="D0D7DE"/>
          <w:right w:val="single" w:sz="4" w:color="D0D7DE"/>
        </w:tblBorders>
      </w:tblPr>
      <w:tblGrid>
        <w:gridCol w:w="8640"/>
      </w:tblGrid>
      <w:tr>
        <w:tc>
          <w:tcPr>
            <w:tcW w:type="dxa" w:w="9360"/>
            <w:shd w:val="clear" w:color="auto" w:fill="F4F6F8"/>
          </w:tcPr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#1  TS=("GLP-1" OR "glucagon-like peptide"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     OR semaglutide OR liraglutide OR tirzepatide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     OR dulaglutide OR exenatide OR lixisenatide OR Ozempic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     OR Wegovy OR Mounjaro OR Zepbound OR Rybelsus OR Trulicity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     OR Saxenda OR Victoza OR Byetta OR Bydureon)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#2  TS=(nurs* OR "nurse-led" OR "nurse-delivered"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     OR "advanced practice nurs*" OR "nurse practitioner")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#3  TS=(obesity OR overweight OR "weight management"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     OR "weight loss" OR "type 2 diabetes" OR T2DM OR T2D)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#4  #1 AND #2 AND #3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Timespan: 2015-01-01 to present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Document Types: Article, Review, Proceedings Paper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Languages: English (Chinese-language literature searched separately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       in CNKI / SinoMed / Wanfang / VIP)</w:t>
            </w:r>
          </w:p>
        </w:tc>
      </w:tr>
    </w:tbl>
    <w:p>
      <w:pPr>
        <w:spacing w:after="80"/>
      </w:pPr>
    </w:p>
    <w:p>
      <w:pPr>
        <w:spacing w:before="160" w:after="80"/>
      </w:pPr>
      <w:r>
        <w:rPr>
          <w:rFonts w:ascii="Calibri" w:hAnsi="Calibri"/>
          <w:b/>
          <w:color w:val="1F3A5F"/>
          <w:sz w:val="22"/>
        </w:rPr>
        <w:t>2.6  Cochrane Library (CENTRAL)</w:t>
      </w:r>
    </w:p>
    <w:tbl>
      <w:tblPr>
        <w:tblW w:type="auto" w:w="0"/>
        <w:jc w:val="left"/>
        <w:tblLook w:firstColumn="1" w:firstRow="1" w:lastColumn="0" w:lastRow="0" w:noHBand="0" w:noVBand="1" w:val="04A0"/>
        <w:tblBorders>
          <w:top w:val="single" w:sz="4" w:color="D0D7DE"/>
          <w:left w:val="single" w:sz="4" w:color="D0D7DE"/>
          <w:bottom w:val="single" w:sz="4" w:color="D0D7DE"/>
          <w:right w:val="single" w:sz="4" w:color="D0D7DE"/>
        </w:tblBorders>
      </w:tblPr>
      <w:tblGrid>
        <w:gridCol w:w="8640"/>
      </w:tblGrid>
      <w:tr>
        <w:tc>
          <w:tcPr>
            <w:tcW w:type="dxa" w:w="9360"/>
            <w:shd w:val="clear" w:color="auto" w:fill="F4F6F8"/>
          </w:tcPr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#1   MeSH descriptor: [Glucagon-Like Peptide 1] explode all trees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#2   MeSH descriptor: [Glucagon-Like Peptide-1 Receptor] explode all trees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#3   MeSH descriptor: [Liraglutide] explode all trees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#4   MeSH descriptor: [Exenatide] explode all trees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#5   #1 OR #2 OR #3 OR #4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#6   ("GLP-1" OR semaglutide OR liraglutide OR tirzepatide OR dulaglutide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  OR exenatide OR lixisenatide OR Ozempic OR Wegovy OR Rybelsus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  OR Mounjaro OR Zepbound OR Trulicity OR Saxenda OR Victoza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  OR Byetta OR Bydureon):ti,ab,kw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#7   #5 OR #6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#8   MeSH descriptor: [Nurses] explode all trees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#9   MeSH descriptor: [Nursing] explode all trees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#10  (nurs* OR "nurse-led" OR "nurse-delivered" OR "nurse practitioner"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  OR "advanced practice nurs*" OR "nurse coordinator"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  OR "diabetes educator"):ti,ab,kw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#11  #8 OR #9 OR #10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#12  MeSH descriptor: [Obesity] explode all trees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#13  MeSH descriptor: [Overweight] explode all trees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#14  MeSH descriptor: [Diabetes Mellitus, Type 2] explode all trees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#15  (obesity OR overweight OR "weight management" OR "weight loss"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  OR "type 2 diabetes" OR "type 2 diabetic" OR T2DM OR T2D):ti,ab,kw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#16  #12 OR #13 OR #14 OR #15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#17  #7 AND #11 AND #16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#18  MeSH descriptor: [Animals] explode all trees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  NOT MeSH descriptor: [Humans] explode all trees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#19  #17 NOT #18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Filters: Publication year 2015 onward; Cochrane Reviews + Trials</w:t>
            </w:r>
          </w:p>
        </w:tc>
      </w:tr>
    </w:tbl>
    <w:p>
      <w:pPr>
        <w:spacing w:after="80"/>
      </w:pPr>
    </w:p>
    <w:p>
      <w:r>
        <w:br w:type="page"/>
      </w:r>
    </w:p>
    <w:p>
      <w:pPr>
        <w:spacing w:before="280" w:after="120"/>
      </w:pPr>
      <w:r>
        <w:rPr>
          <w:rFonts w:ascii="Calibri" w:hAnsi="Calibri"/>
          <w:b/>
          <w:color w:val="1F3A5F"/>
          <w:sz w:val="26"/>
        </w:rPr>
        <w:t>3. Chinese-language databases</w:t>
      </w:r>
    </w:p>
    <w:p>
      <w:pPr>
        <w:spacing w:after="160"/>
      </w:pPr>
      <w:r>
        <w:rPr>
          <w:b w:val="0"/>
          <w:i w:val="0"/>
          <w:color w:val="555555"/>
          <w:sz w:val="20"/>
        </w:rPr>
        <w:t>Common strategy. A combined subject + title + keyword + abstract field search was used. Chinese drug names covered both international non-proprietary names (e.g. 司美格鲁肽, semaglutide) and trade names (e.g. 诺和泰, 诺和达, 诺和力, 百达扬). Nursing terms covered 护士主导 (nurse-led), 专科护士 (specialist nurse), 糖尿病专科护士 (diabetes specialist nurse), 减重专科护士 (weight-management specialist nurse) and 延续护理 (continuity-of-care). Searches were restricted to 2015 onward.</w:t>
      </w:r>
    </w:p>
    <w:p>
      <w:pPr>
        <w:spacing w:before="160" w:after="80"/>
      </w:pPr>
      <w:r>
        <w:rPr>
          <w:rFonts w:ascii="Calibri" w:hAnsi="Calibri"/>
          <w:b/>
          <w:color w:val="1F3A5F"/>
          <w:sz w:val="22"/>
        </w:rPr>
        <w:t>3.1  CNKI (China National Knowledge Infrastructure) — professional search</w:t>
      </w:r>
    </w:p>
    <w:tbl>
      <w:tblPr>
        <w:tblW w:type="auto" w:w="0"/>
        <w:jc w:val="left"/>
        <w:tblLook w:firstColumn="1" w:firstRow="1" w:lastColumn="0" w:lastRow="0" w:noHBand="0" w:noVBand="1" w:val="04A0"/>
        <w:tblBorders>
          <w:top w:val="single" w:sz="4" w:color="D0D7DE"/>
          <w:left w:val="single" w:sz="4" w:color="D0D7DE"/>
          <w:bottom w:val="single" w:sz="4" w:color="D0D7DE"/>
          <w:right w:val="single" w:sz="4" w:color="D0D7DE"/>
        </w:tblBorders>
      </w:tblPr>
      <w:tblGrid>
        <w:gridCol w:w="8640"/>
      </w:tblGrid>
      <w:tr>
        <w:tc>
          <w:tcPr>
            <w:tcW w:type="dxa" w:w="9360"/>
            <w:shd w:val="clear" w:color="auto" w:fill="F4F6F8"/>
          </w:tcPr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SU=(GLP-1+胰高血糖素样肽-1+胰高血糖素样肽1+司美格鲁肽+利拉鲁肽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+替尔泊肽+度拉糖肽+艾塞那肽+利司那肽+诺和泰+诺和达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+诺和力+诺和盈+百达扬+突破悦+Wegovy+Ozempic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+Mounjaro+Zepbound+Saxenda+Victoza)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AND SU=(护士+护理+护士主导+专科护士+糖尿病专科护士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    +糖尿病教育护士+减重专科护士+护理干预+延续护理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    +护理协调员+护理导航员+高级实践护士)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AND SU=(肥胖+超重+体重管理+减重+2型糖尿病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    +Ⅱ型糖尿病+T2DM+糖尿病+胰岛素抵抗+代谢综合征)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Field: Subject (incl. title / keyword / abstract)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Date: 2015-01-01 to search date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Source: journals + dissertations + conference papers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Discipline: Medicine &amp; Public Health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Preference: Peking University core / CSCD / CSSCI source journals.</w:t>
            </w:r>
          </w:p>
        </w:tc>
      </w:tr>
    </w:tbl>
    <w:p>
      <w:pPr>
        <w:spacing w:after="80"/>
      </w:pPr>
    </w:p>
    <w:p>
      <w:pPr>
        <w:spacing w:before="160" w:after="80"/>
      </w:pPr>
      <w:r>
        <w:rPr>
          <w:rFonts w:ascii="Calibri" w:hAnsi="Calibri"/>
          <w:b/>
          <w:color w:val="1F3A5F"/>
          <w:sz w:val="22"/>
        </w:rPr>
        <w:t>3.2  Wanfang Data — advanced search</w:t>
      </w:r>
    </w:p>
    <w:tbl>
      <w:tblPr>
        <w:tblW w:type="auto" w:w="0"/>
        <w:jc w:val="left"/>
        <w:tblLook w:firstColumn="1" w:firstRow="1" w:lastColumn="0" w:lastRow="0" w:noHBand="0" w:noVBand="1" w:val="04A0"/>
        <w:tblBorders>
          <w:top w:val="single" w:sz="4" w:color="D0D7DE"/>
          <w:left w:val="single" w:sz="4" w:color="D0D7DE"/>
          <w:bottom w:val="single" w:sz="4" w:color="D0D7DE"/>
          <w:right w:val="single" w:sz="4" w:color="D0D7DE"/>
        </w:tblBorders>
      </w:tblPr>
      <w:tblGrid>
        <w:gridCol w:w="8640"/>
      </w:tblGrid>
      <w:tr>
        <w:tc>
          <w:tcPr>
            <w:tcW w:type="dxa" w:w="9360"/>
            <w:shd w:val="clear" w:color="auto" w:fill="F4F6F8"/>
          </w:tcPr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主题:("GLP-1" OR "胰高血糖素样肽-1" OR "司美格鲁肽" OR "利拉鲁肽"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  OR "替尔泊肽" OR "度拉糖肽" OR "艾塞那肽" OR "利司那肽"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  OR "诺和泰" OR "诺和达" OR "Wegovy" OR "Ozempic" OR "Mounjaro")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*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主题:("护士" OR "护理" OR "护士主导" OR "专科护士"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  OR "糖尿病专科护士" OR "护理干预" OR "延续护理"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  OR "护理协调")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*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主题:("肥胖" OR "超重" OR "体重管理" OR "减重" OR "2型糖尿病"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  OR "Ⅱ型糖尿病" OR "T2DM" OR "糖尿病")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Note. In Wanfang, "*" denotes the AND operator.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Date: 2015 to present. Type: journals + dissertations + conference papers.</w:t>
            </w:r>
          </w:p>
        </w:tc>
      </w:tr>
    </w:tbl>
    <w:p>
      <w:pPr>
        <w:spacing w:after="80"/>
      </w:pPr>
    </w:p>
    <w:p>
      <w:pPr>
        <w:spacing w:before="160" w:after="80"/>
      </w:pPr>
      <w:r>
        <w:rPr>
          <w:rFonts w:ascii="Calibri" w:hAnsi="Calibri"/>
          <w:b/>
          <w:color w:val="1F3A5F"/>
          <w:sz w:val="22"/>
        </w:rPr>
        <w:t>3.3  VIP (Chinese Sci-Tech Periodical Database) — advanced search</w:t>
      </w:r>
    </w:p>
    <w:tbl>
      <w:tblPr>
        <w:tblW w:type="auto" w:w="0"/>
        <w:jc w:val="left"/>
        <w:tblLook w:firstColumn="1" w:firstRow="1" w:lastColumn="0" w:lastRow="0" w:noHBand="0" w:noVBand="1" w:val="04A0"/>
        <w:tblBorders>
          <w:top w:val="single" w:sz="4" w:color="D0D7DE"/>
          <w:left w:val="single" w:sz="4" w:color="D0D7DE"/>
          <w:bottom w:val="single" w:sz="4" w:color="D0D7DE"/>
          <w:right w:val="single" w:sz="4" w:color="D0D7DE"/>
        </w:tblBorders>
      </w:tblPr>
      <w:tblGrid>
        <w:gridCol w:w="8640"/>
      </w:tblGrid>
      <w:tr>
        <w:tc>
          <w:tcPr>
            <w:tcW w:type="dxa" w:w="9360"/>
            <w:shd w:val="clear" w:color="auto" w:fill="F4F6F8"/>
          </w:tcPr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(M=("GLP-1"+"胰高血糖素样肽-1"+"胰高血糖素样肽1"+"司美格鲁肽"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 +"利拉鲁肽"+"替尔泊肽"+"度拉糖肽"+"艾塞那肽"+"利司那肽"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 +"诺和泰"+"诺和达"+"诺和力"+"诺和盈"+"百达扬"+"突破悦"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 +"Wegovy"+"Ozempic"+"Mounjaro"+"Zepbound"+"Saxenda"+"Victoza")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OR R=(...same term list as M...))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AND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(M=("护士"+"护理"+"护士主导"+"专科护士"+"糖尿病专科护士"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 +"糖尿病教育护士"+"减重专科护士"+"护理干预"+"延续护理"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 +"护理协调员"+"护理导航员"+"高级实践护士")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OR R=(...same term list as M...))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AND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(M=("肥胖"+"超重"+"体重管理"+"减重"+"2型糖尿病"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 +"Ⅱ型糖尿病"+"T2DM"+"糖尿病"+"胰岛素抵抗"+"代谢综合征")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OR R=(...same term list as M...))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Note. In VIP, M = title-or-keyword field and R = abstract field. The full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R=() term lists are identical to the corresponding M=() lists and are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omitted here only to save space. Date: 2015-2026.</w:t>
            </w:r>
          </w:p>
        </w:tc>
      </w:tr>
    </w:tbl>
    <w:p>
      <w:pPr>
        <w:spacing w:after="80"/>
      </w:pPr>
    </w:p>
    <w:p>
      <w:pPr>
        <w:spacing w:before="160" w:after="80"/>
      </w:pPr>
      <w:r>
        <w:rPr>
          <w:rFonts w:ascii="Calibri" w:hAnsi="Calibri"/>
          <w:b/>
          <w:color w:val="1F3A5F"/>
          <w:sz w:val="22"/>
        </w:rPr>
        <w:t>3.4  SinoMed (Chinese Biomedical Literature Service System, IMICAMS)</w:t>
      </w:r>
    </w:p>
    <w:tbl>
      <w:tblPr>
        <w:tblW w:type="auto" w:w="0"/>
        <w:jc w:val="left"/>
        <w:tblLook w:firstColumn="1" w:firstRow="1" w:lastColumn="0" w:lastRow="0" w:noHBand="0" w:noVBand="1" w:val="04A0"/>
        <w:tblBorders>
          <w:top w:val="single" w:sz="4" w:color="D0D7DE"/>
          <w:left w:val="single" w:sz="4" w:color="D0D7DE"/>
          <w:bottom w:val="single" w:sz="4" w:color="D0D7DE"/>
          <w:right w:val="single" w:sz="4" w:color="D0D7DE"/>
        </w:tblBorders>
      </w:tblPr>
      <w:tblGrid>
        <w:gridCol w:w="8640"/>
      </w:tblGrid>
      <w:tr>
        <w:tc>
          <w:tcPr>
            <w:tcW w:type="dxa" w:w="9360"/>
            <w:shd w:val="clear" w:color="auto" w:fill="F4F6F8"/>
          </w:tcPr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#1  ("胰高血糖素样肽-1受体激动剂"[主题词]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  OR "胰高血糖素样肽1"[主题词]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  OR "利拉鲁肽"[主题词] OR "艾塞那肽"[主题词]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  OR "GLP-1"[全字段] OR "司美格鲁肽"[全字段]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  OR "替尔泊肽"[全字段] OR "度拉糖肽"[全字段]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  OR "诺和泰"[全字段] OR "诺和达"[全字段])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#2  ("护士"[主题词] OR "护士护理"[主题词] OR "护理"[主题词]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  OR "专科护士"[全字段] OR "糖尿病专科护士"[全字段]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  OR "护士主导"[全字段] OR "护理干预"[全字段]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  OR "延续护理"[全字段])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#3  ("肥胖症"[主题词] OR "超重"[主题词]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  OR "糖尿病, 2型"[主题词]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  OR "肥胖"[全字段] OR "体重管理"[全字段]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  OR "2型糖尿病"[全字段])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#4  #1 AND #2 AND #3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Limits: 2015-2026; journal articles + dissertations; Chinese language;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    reviews excluded (used for citation tracking only).</w:t>
            </w:r>
          </w:p>
        </w:tc>
      </w:tr>
    </w:tbl>
    <w:p>
      <w:pPr>
        <w:spacing w:after="80"/>
      </w:pPr>
    </w:p>
    <w:p>
      <w:pPr>
        <w:spacing w:after="160"/>
      </w:pPr>
      <w:r>
        <w:rPr>
          <w:b w:val="0"/>
          <w:i/>
          <w:color w:val="555555"/>
          <w:sz w:val="18"/>
        </w:rPr>
        <w:t>Chinese-database integration. Results from the four Chinese databases were exported to EndNote / NoteExpress and de-duplicated (priority: DOI &gt; Chinese title + first author &gt; Chinese title + year). CNKI was used as the primary source, with SinoMed, Wanfang and VIP used for supplementation and cross-validation. Chinese-language inclusion threshold: Peking University core / CSCD / CSSCI source journals, or master’s/doctoral dissertations from provincial tertiary (Grade-III Class-A) hospitals or ministry-affiliated medical universities. Chinese search strings were checked by a second reviewer with experience in Chinese-language medical-literature retrieval.</w:t>
      </w:r>
    </w:p>
    <w:p>
      <w:r>
        <w:br w:type="page"/>
      </w:r>
    </w:p>
    <w:p>
      <w:pPr>
        <w:spacing w:before="280" w:after="120"/>
      </w:pPr>
      <w:r>
        <w:rPr>
          <w:rFonts w:ascii="Calibri" w:hAnsi="Calibri"/>
          <w:b/>
          <w:color w:val="1F3A5F"/>
          <w:sz w:val="26"/>
        </w:rPr>
        <w:t>4. Grey-literature and trial-registry sources</w:t>
      </w:r>
    </w:p>
    <w:p>
      <w:pPr>
        <w:spacing w:before="160" w:after="80"/>
      </w:pPr>
      <w:r>
        <w:rPr>
          <w:rFonts w:ascii="Calibri" w:hAnsi="Calibri"/>
          <w:b/>
          <w:color w:val="1F3A5F"/>
          <w:sz w:val="22"/>
        </w:rPr>
        <w:t>4.1  ProQuest Dissertations &amp; Theses Global</w:t>
      </w:r>
    </w:p>
    <w:tbl>
      <w:tblPr>
        <w:tblW w:type="auto" w:w="0"/>
        <w:jc w:val="left"/>
        <w:tblLook w:firstColumn="1" w:firstRow="1" w:lastColumn="0" w:lastRow="0" w:noHBand="0" w:noVBand="1" w:val="04A0"/>
        <w:tblBorders>
          <w:top w:val="single" w:sz="4" w:color="D0D7DE"/>
          <w:left w:val="single" w:sz="4" w:color="D0D7DE"/>
          <w:bottom w:val="single" w:sz="4" w:color="D0D7DE"/>
          <w:right w:val="single" w:sz="4" w:color="D0D7DE"/>
        </w:tblBorders>
      </w:tblPr>
      <w:tblGrid>
        <w:gridCol w:w="8640"/>
      </w:tblGrid>
      <w:tr>
        <w:tc>
          <w:tcPr>
            <w:tcW w:type="dxa" w:w="9360"/>
            <w:shd w:val="clear" w:color="auto" w:fill="F4F6F8"/>
          </w:tcPr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ab,ti,su(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"GLP-1" OR "glucagon-like peptide" OR semaglutide OR liraglutide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OR tirzepatide OR dulaglutide OR exenatide OR lixisenatide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OR Ozempic OR Wegovy OR Rybelsus OR Mounjaro OR Zepbound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OR Trulicity OR Saxenda OR Victoza OR Byetta OR Bydureon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)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AND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ab,ti,su(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nurs* OR "nurse-led" OR "nurse-delivered"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OR "nurse practitioner" OR "advanced practice nurs*"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OR "diabetes educator" OR "nurse coordinator" OR "nurse navigator"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)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AND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ab,ti,su(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obesity OR overweight OR "type 2 diabetes" OR T2DM OR T2D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)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AND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ab,ti,su(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intervention* OR program* OR education OR training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OR support* OR care OR management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)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Source type: Dissertations &amp; Theses. Date: 2015-present. Language: English.</w:t>
            </w:r>
          </w:p>
        </w:tc>
      </w:tr>
    </w:tbl>
    <w:p>
      <w:pPr>
        <w:spacing w:after="80"/>
      </w:pPr>
    </w:p>
    <w:p>
      <w:pPr>
        <w:spacing w:before="160" w:after="80"/>
      </w:pPr>
      <w:r>
        <w:rPr>
          <w:rFonts w:ascii="Calibri" w:hAnsi="Calibri"/>
          <w:b/>
          <w:color w:val="1F3A5F"/>
          <w:sz w:val="22"/>
        </w:rPr>
        <w:t>4.2  ClinicalTrials.gov</w:t>
      </w:r>
    </w:p>
    <w:tbl>
      <w:tblPr>
        <w:tblW w:type="auto" w:w="0"/>
        <w:jc w:val="left"/>
        <w:tblLook w:firstColumn="1" w:firstRow="1" w:lastColumn="0" w:lastRow="0" w:noHBand="0" w:noVBand="1" w:val="04A0"/>
        <w:tblBorders>
          <w:top w:val="single" w:sz="4" w:color="D0D7DE"/>
          <w:left w:val="single" w:sz="4" w:color="D0D7DE"/>
          <w:bottom w:val="single" w:sz="4" w:color="D0D7DE"/>
          <w:right w:val="single" w:sz="4" w:color="D0D7DE"/>
        </w:tblBorders>
      </w:tblPr>
      <w:tblGrid>
        <w:gridCol w:w="8640"/>
      </w:tblGrid>
      <w:tr>
        <w:tc>
          <w:tcPr>
            <w:tcW w:type="dxa" w:w="9360"/>
            <w:shd w:val="clear" w:color="auto" w:fill="F4F6F8"/>
          </w:tcPr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Condition/disease: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obesity OR "type 2 diabetes"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Intervention/treatment: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semaglutide OR liraglutide OR tirzepatide OR dulaglutide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OR exenatide OR lixisenatide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OR Ozempic OR Wegovy OR Mounjaro OR Zepbound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OR Saxenda OR Rybelsus OR Trulicity OR Victoza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Other terms: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nurs* OR nursing OR "nurse-led" OR "nurse-delivered"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OR "nurse practitioner" OR "diabetes educator"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OR "nurse coordinator" OR "nurse navigator"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Study type: Interventional. Study results: With Results.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Status: Completed, Terminated. First posted: from 2015-01-01.</w:t>
            </w:r>
          </w:p>
        </w:tc>
      </w:tr>
    </w:tbl>
    <w:p>
      <w:pPr>
        <w:spacing w:after="80"/>
      </w:pPr>
    </w:p>
    <w:p>
      <w:pPr>
        <w:spacing w:before="160" w:after="80"/>
      </w:pPr>
      <w:r>
        <w:rPr>
          <w:rFonts w:ascii="Calibri" w:hAnsi="Calibri"/>
          <w:b/>
          <w:color w:val="1F3A5F"/>
          <w:sz w:val="22"/>
        </w:rPr>
        <w:t>4.3  WHO International Clinical Trials Registry Platform (ICTRP)</w:t>
      </w:r>
    </w:p>
    <w:tbl>
      <w:tblPr>
        <w:tblW w:type="auto" w:w="0"/>
        <w:jc w:val="left"/>
        <w:tblLook w:firstColumn="1" w:firstRow="1" w:lastColumn="0" w:lastRow="0" w:noHBand="0" w:noVBand="1" w:val="04A0"/>
        <w:tblBorders>
          <w:top w:val="single" w:sz="4" w:color="D0D7DE"/>
          <w:left w:val="single" w:sz="4" w:color="D0D7DE"/>
          <w:bottom w:val="single" w:sz="4" w:color="D0D7DE"/>
          <w:right w:val="single" w:sz="4" w:color="D0D7DE"/>
        </w:tblBorders>
      </w:tblPr>
      <w:tblGrid>
        <w:gridCol w:w="8640"/>
      </w:tblGrid>
      <w:tr>
        <w:tc>
          <w:tcPr>
            <w:tcW w:type="dxa" w:w="9360"/>
            <w:shd w:val="clear" w:color="auto" w:fill="F4F6F8"/>
          </w:tcPr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(obesity OR overweight OR "type 2 diabetes" OR T2DM OR T2D)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AND ("GLP-1" OR "glucagon-like peptide" OR semaglutide OR liraglutide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 OR tirzepatide OR dulaglutide OR exenatide OR lixisenatide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 OR Ozempic OR Wegovy OR Rybelsus OR Mounjaro OR Zepbound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 OR Trulicity OR Saxenda OR Victoza OR Byetta OR Bydureon)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AND (nurs* OR nursing OR "nurse-led" OR "nurse-delivered"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 OR "nurse practitioner" OR "advanced practice"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 xml:space="preserve">     OR "diabetes educator" OR "nurse coordinator" OR "nurse navigator")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Date: from 2015-01-01. Status: Completed, Terminated.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Results: filtered by results availability where supported by the interface;</w:t>
            </w:r>
          </w:p>
          <w:p>
            <w:pPr>
              <w:spacing w:after="0" w:before="0" w:line="240" w:lineRule="auto"/>
            </w:pPr>
            <w:r>
              <w:rPr>
                <w:rFonts w:ascii="Consolas" w:hAnsi="Consolas"/>
                <w:sz w:val="18"/>
              </w:rPr>
              <w:t>otherwise records without result reporting were excluded manually at screening.</w:t>
            </w:r>
          </w:p>
        </w:tc>
      </w:tr>
    </w:tbl>
    <w:p>
      <w:pPr>
        <w:spacing w:after="80"/>
      </w:pPr>
    </w:p>
    <w:p>
      <w:pPr>
        <w:spacing w:before="160" w:after="80"/>
      </w:pPr>
      <w:r>
        <w:rPr>
          <w:rFonts w:ascii="Calibri" w:hAnsi="Calibri"/>
          <w:b/>
          <w:color w:val="1F3A5F"/>
          <w:sz w:val="22"/>
        </w:rPr>
        <w:t>4.4  Supplementary hand-searching and citation tracking</w:t>
      </w:r>
    </w:p>
    <w:p>
      <w:pPr>
        <w:spacing w:after="120"/>
      </w:pPr>
      <w:r>
        <w:rPr>
          <w:b w:val="0"/>
          <w:i w:val="0"/>
          <w:color w:val="555555"/>
          <w:sz w:val="20"/>
        </w:rPr>
        <w:t>In addition to the sources above, the following supplementary methods were used: hand-searching of the tables of contents of key nursing journals over the preceding three years (including BMC Nursing, Journal of Advanced Nursing and Journal of Clinical Nursing); backward citation tracking of the reference lists of all included studies; and forward citation tracking of included studies via Scopus and Web of Science. These methods contributed no additional included studies (n = 0).</w:t>
      </w:r>
    </w:p>
    <w:p>
      <w:pPr>
        <w:spacing w:before="280" w:after="120"/>
      </w:pPr>
      <w:r>
        <w:rPr>
          <w:rFonts w:ascii="Calibri" w:hAnsi="Calibri"/>
          <w:b/>
          <w:color w:val="1F3A5F"/>
          <w:sz w:val="26"/>
        </w:rPr>
        <w:t>5. Notes on search conduct and reproducibility</w:t>
      </w:r>
    </w:p>
    <w:p>
      <w:pPr>
        <w:spacing w:after="120"/>
        <w:ind w:left="0"/>
      </w:pPr>
      <w:r>
        <w:rPr>
          <w:color w:val="555555"/>
          <w:sz w:val="20"/>
        </w:rPr>
        <w:t>Concept-to-block mapping. The Population–Concept–Context (PCC) framework was mapped to three search blocks: a GLP-1 receptor agonist drug block, a nurse/nursing concept block, and an obesity/type 2 diabetes population block, combined with AND. Context elements (care setting and treatment phase) were deliberately not built into the strings and were assessed during screening, to avoid over-restricting sensitivity.</w:t>
      </w:r>
    </w:p>
    <w:p>
      <w:pPr>
        <w:spacing w:after="120"/>
        <w:ind w:left="0"/>
      </w:pPr>
      <w:r>
        <w:rPr>
          <w:color w:val="555555"/>
          <w:sz w:val="20"/>
        </w:rPr>
        <w:t>Truncation and proximity. The truncation symbol (*) was used to capture word-form variants; proximity operators were available for Web of Science where required. Both generic and trade names of each agent were included to capture real-world publications.</w:t>
      </w:r>
    </w:p>
    <w:p>
      <w:pPr>
        <w:spacing w:after="120"/>
        <w:ind w:left="0"/>
      </w:pPr>
      <w:r>
        <w:rPr>
          <w:color w:val="555555"/>
          <w:sz w:val="20"/>
        </w:rPr>
        <w:t>Peer review of the strategies. Search strategies were peer-reviewed against the PRESS 2015 checklist before formal execution, with attention to subject-heading spelling and field tags, Boolean and proximity-operator precedence, truncation and quotation use, and filter logic and language limits.</w:t>
      </w:r>
    </w:p>
    <w:p>
      <w:pPr>
        <w:spacing w:after="120"/>
        <w:ind w:left="0"/>
      </w:pPr>
      <w:r>
        <w:rPr>
          <w:color w:val="555555"/>
          <w:sz w:val="20"/>
        </w:rPr>
        <w:t>Search log and updating. All search strings, run dates and hit counts were recorded in a search log; results were exported in RIS/NBIB format to EndNote and imported to Rayyan for de-duplication. An updated search was run shortly before submission and incorporated into the study-flow counts.</w:t>
      </w:r>
    </w:p>
    <w:p>
      <w:pPr>
        <w:spacing w:after="120"/>
        <w:ind w:left="0"/>
      </w:pPr>
      <w:r>
        <w:rPr>
          <w:color w:val="555555"/>
          <w:sz w:val="20"/>
        </w:rPr>
        <w:t>Deviation from protocol. The principal pre-data-extraction amendment was a reduction of grey-literature sources to ProQuest Dissertations &amp; Theses Global, ClinicalTrials.gov and the WHO ICTRP (removing CORE, the first 200 Google Scholar results and the WHO website), recorded in the OSF Amendment Log.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