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13C06">
      <w:pPr>
        <w:spacing w:after="240"/>
        <w:jc w:val="center"/>
      </w:pPr>
      <w:r>
        <w:rPr>
          <w:rFonts w:hint="eastAsia" w:ascii="Arial" w:hAnsi="Arial" w:eastAsia="Arial" w:cs="Arial"/>
          <w:b/>
          <w:bCs/>
          <w:sz w:val="28"/>
          <w:szCs w:val="28"/>
        </w:rPr>
        <w:t>Additional file 3</w:t>
      </w:r>
      <w:r>
        <w:rPr>
          <w:rFonts w:ascii="Arial" w:hAnsi="Arial" w:eastAsia="Arial" w:cs="Arial"/>
          <w:b/>
          <w:bCs/>
          <w:sz w:val="28"/>
          <w:szCs w:val="28"/>
        </w:rPr>
        <w:t xml:space="preserve"> — Full-Text Exclusion Log</w:t>
      </w:r>
    </w:p>
    <w:p w14:paraId="13D00889">
      <w:pPr>
        <w:spacing w:after="200"/>
        <w:jc w:val="center"/>
      </w:pPr>
      <w:r>
        <w:rPr>
          <w:rFonts w:ascii="Arial" w:hAnsi="Arial" w:eastAsia="Arial" w:cs="Arial"/>
          <w:i/>
          <w:iCs/>
          <w:sz w:val="22"/>
          <w:szCs w:val="22"/>
        </w:rPr>
        <w:t>Nurse-led supportive care interventions for adults with type 2 diabetes and/or obesity receiving glucagon-like peptide-1 receptor agonists: a scoping review</w:t>
      </w:r>
    </w:p>
    <w:p w14:paraId="6D59CF7B">
      <w:pPr>
        <w:spacing w:after="200" w:line="280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  <w:t>Each record that progressed to full-text screening but was not included is listed below with a single primary exclusion code (E1–E10). Codes follow th</w:t>
      </w:r>
      <w:bookmarkStart w:id="0" w:name="_GoBack"/>
      <w:bookmarkEnd w:id="0"/>
      <w:r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  <w:t>e registered protocol §8.3. Where a record qualifies for more than one exclusion code, the primary reason is the most upstream criterion failed.</w:t>
      </w:r>
    </w:p>
    <w:p w14:paraId="446A5BF8">
      <w:pPr>
        <w:spacing w:before="240" w:after="120" w:line="280" w:lineRule="auto"/>
      </w:pPr>
      <w:r>
        <w:rPr>
          <w:rFonts w:ascii="Arial" w:hAnsi="Arial" w:eastAsia="Arial" w:cs="Arial"/>
          <w:b/>
          <w:bCs/>
          <w:sz w:val="26"/>
          <w:szCs w:val="26"/>
        </w:rPr>
        <w:t>Exclusion-code legend</w:t>
      </w:r>
    </w:p>
    <w:tbl>
      <w:tblPr>
        <w:tblStyle w:val="1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8160"/>
      </w:tblGrid>
      <w:tr w14:paraId="252E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AF12D2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E-code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3532A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Reason for exclusion</w:t>
            </w:r>
          </w:p>
        </w:tc>
      </w:tr>
      <w:tr w14:paraId="1131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069DFA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E1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161F5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Not nurse-led (intervention does not meet at least two of four Sheer &amp; Wong nurse-led criteria)</w:t>
            </w:r>
          </w:p>
        </w:tc>
      </w:tr>
      <w:tr w14:paraId="2FC9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1F33F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E2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05F036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Pediatric population (age &lt; 18 years)</w:t>
            </w:r>
          </w:p>
        </w:tc>
      </w:tr>
      <w:tr w14:paraId="2432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F0E06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E3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19FCEF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Pharmacology / PK / PE only — no supportive-care component</w:t>
            </w:r>
          </w:p>
        </w:tc>
      </w:tr>
      <w:tr w14:paraId="1C16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01D8E7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E4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F96F6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Review article, editorial, commentary, opinion piece, letter</w:t>
            </w:r>
          </w:p>
        </w:tc>
      </w:tr>
      <w:tr w14:paraId="62BB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2002A3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E5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7FE70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Population not adults with obesity / overweight with metabolic comorbidity / T2DM</w:t>
            </w:r>
          </w:p>
        </w:tc>
      </w:tr>
      <w:tr w14:paraId="7F99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C75B8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E6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ED7AA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Not a GLP-1 receptor agonist (or dual GIP/GLP-1 agonist)</w:t>
            </w:r>
          </w:p>
        </w:tc>
      </w:tr>
      <w:tr w14:paraId="35E9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01CF6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E7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DAE99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Full text unavailable after ≥ 2 contact attempts with corresponding author</w:t>
            </w:r>
          </w:p>
        </w:tc>
      </w:tr>
      <w:tr w14:paraId="1D26A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59A7D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E8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5B66E5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Duplicate publication of an already-included study</w:t>
            </w:r>
          </w:p>
        </w:tc>
      </w:tr>
      <w:tr w14:paraId="10877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A6A392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E9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50011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Pregnancy or lactation population where outcomes cannot be separated from the general adult sample</w:t>
            </w:r>
          </w:p>
        </w:tc>
      </w:tr>
      <w:tr w14:paraId="3588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528832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E10</w:t>
            </w:r>
          </w:p>
        </w:tc>
        <w:tc>
          <w:tcPr>
            <w:tcW w:w="81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45D594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Conference abstract, poster, letter or other publication type without sufficient methods</w:t>
            </w:r>
          </w:p>
        </w:tc>
      </w:tr>
    </w:tbl>
    <w:p w14:paraId="7E443DC2">
      <w:pPr>
        <w:spacing w:before="240" w:after="120" w:line="280" w:lineRule="auto"/>
      </w:pPr>
      <w:r>
        <w:rPr>
          <w:rFonts w:ascii="Arial" w:hAnsi="Arial" w:eastAsia="Arial" w:cs="Arial"/>
          <w:b/>
          <w:bCs/>
          <w:sz w:val="26"/>
          <w:szCs w:val="26"/>
        </w:rPr>
        <w:t>Per-record exclusion log</w:t>
      </w:r>
    </w:p>
    <w:p w14:paraId="30447D49">
      <w:pPr>
        <w:spacing w:after="100" w:line="280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  <w:t>Records EX001–EX014 (n = 14): one upgraded to inclusion (EX001 → S042) and 13 excluded. Record placeholders EX002–EX006 retain the protocol convention of recording E7 disposition without unrestricted citation details, since the records could not be retrieved.</w:t>
      </w:r>
    </w:p>
    <w:tbl>
      <w:tblPr>
        <w:tblStyle w:val="1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1"/>
        <w:gridCol w:w="1590"/>
        <w:gridCol w:w="2888"/>
        <w:gridCol w:w="3333"/>
        <w:gridCol w:w="728"/>
      </w:tblGrid>
      <w:tr w14:paraId="7863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52ADE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Record ID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DD059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First author (year) — record description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00DE5F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Primary reason for exclusion (free-text justification)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86285C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Source / DOI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56587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E-code</w:t>
            </w:r>
          </w:p>
        </w:tc>
      </w:tr>
      <w:tr w14:paraId="3CF6B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F9008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EX013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E13A9C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Li 2020 (Obesity)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0FEF5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Industry-sponsored patient-support programme using Saxenda-SMS adherence outreach; intervention delivered by a dietitian and a diabetes educator, with no nursing role described. Did not meet ≥ 2/4 Sheer &amp; Wong nurse-led criteria.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C54337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Obesity 2020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96A255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E1</w:t>
            </w:r>
          </w:p>
        </w:tc>
      </w:tr>
      <w:tr w14:paraId="21177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C8E891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EX014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1497AA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Richards 2023 (JMIR Form Res)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2351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Service evaluation of the Second Nature remote semaglutide programme; coaches identified as dietitians/nutritionists, with prescribing by a pharmacist and no nurse-led role. Did not meet ≥ 2/4 Sheer &amp; Wong nurse-led criteria.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29F78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JMIR Form Res 2023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BACD6E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E1</w:t>
            </w:r>
          </w:p>
        </w:tc>
      </w:tr>
      <w:tr w14:paraId="08F9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B088B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EX012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A2625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Crowley MJ, Tarkington PE, Bosworth HB, et al. 2022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2B1B9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Drug under study is not a GLP-1 RA. Comprehensive telehealth vs telemonitoring RCT for persistently poor T2DM control; both arms nurse-delivered, but the intervention is a general telehealth model not GLP-1-RA-specific; GLP-1 RA exposure not confirmed.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A627D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JAMA Intern Med 2022;182(9):943–952; doi:10.1001/jamainternmed.2022.2947; NCT03520413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EEEA7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E6</w:t>
            </w:r>
          </w:p>
        </w:tc>
      </w:tr>
      <w:tr w14:paraId="2C33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483CD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EX002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625D18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Author NR (record placeholder)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107F6E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Full text unavailable. The PDF could not be obtained through institutional subscription, PubMed Central, ResearchGate or inter-library loan; the corresponding author did not respond to two e-mail requests over a 14-day window.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FB839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Per protocol §8.3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70BF73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E7</w:t>
            </w:r>
          </w:p>
        </w:tc>
      </w:tr>
      <w:tr w14:paraId="22F7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9E7E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EX003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A4CE3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Author NR (record placeholder)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03BF0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Full text unavailable; same retrieval and contact protocol as above; no response within the contact window.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2DB6B8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Per protocol §8.3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4AF79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E7</w:t>
            </w:r>
          </w:p>
        </w:tc>
      </w:tr>
      <w:tr w14:paraId="62904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F34D9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EX004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4FB17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Author NR (record placeholder)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E70FAA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Full text unavailable; same retrieval and contact protocol as above; no response within the contact window.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8EB589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Per protocol §8.3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DFCC37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E7</w:t>
            </w:r>
          </w:p>
        </w:tc>
      </w:tr>
      <w:tr w14:paraId="2DA4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F3E2E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EX005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05B87E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Author NR (record placeholder)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495840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Full text unavailable; same retrieval and contact protocol as above; no response within the contact window.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5BB08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Per protocol §8.3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249F52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E7</w:t>
            </w:r>
          </w:p>
        </w:tc>
      </w:tr>
      <w:tr w14:paraId="587B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64C917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EX006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C33DE8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Author NR (record placeholder)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666969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Full text unavailable; same retrieval and contact protocol as above; no response within the contact window.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C26F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Per protocol §8.3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3EC79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E7</w:t>
            </w:r>
          </w:p>
        </w:tc>
      </w:tr>
      <w:tr w14:paraId="11EE8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91855A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EX007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1D0480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Peng Li 2017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93720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Duplicate publication — same article as the already-included S023 (Peng Li 2017). Master record retained; this report excluded.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D92009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医药前沿 2017; 2095-1752(2017)23-0332-02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A57D07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E8</w:t>
            </w:r>
          </w:p>
        </w:tc>
      </w:tr>
      <w:tr w14:paraId="2829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53A768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EX008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930F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Yan Shengjie 2017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52116A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Duplicate publication — same article as the already-included S029 (Yan Shengjie 2017). Master record retained; this report excluded.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D0DCF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智慧健康 2017;16:60–61; doi:10.19335/j.cnki.2096-1219.2017.16.26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A21544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E8</w:t>
            </w:r>
          </w:p>
        </w:tc>
      </w:tr>
      <w:tr w14:paraId="12DB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F8AA9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EX009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3183A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Ma Liu 2016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990996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Duplicate publication — same article as the already-included S020 (Ma Liu 2016). Master record retained; this report excluded.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12B876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中国临床新医学 2016;9(6):535–537; doi:10.3969/j.issn.1674-3806.2016.06.24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CD694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E8</w:t>
            </w:r>
          </w:p>
        </w:tc>
      </w:tr>
      <w:tr w14:paraId="3542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A5455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EX010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9FAA3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Mei Jing 2023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1E636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Duplicate publication — same article as the already-included S021 (Mei Jing 2023). Master record retained; this report excluded.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D3795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健康女性 2023;(15):89–90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D30BBC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E8</w:t>
            </w:r>
          </w:p>
        </w:tc>
      </w:tr>
      <w:tr w14:paraId="1109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1327C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EX011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46BAB3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Wang Huimin 2021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2F26E7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Duplicate publication — same article as the already-included S024 (Wang Huimin 2021). Master record retained; this report excluded.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BDD834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中国保健营养 2021;31(15):135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2594D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E8</w:t>
            </w:r>
          </w:p>
        </w:tc>
      </w:tr>
      <w:tr w14:paraId="67B5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EAF4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28F4FA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EX001</w:t>
            </w:r>
          </w:p>
        </w:tc>
        <w:tc>
          <w:tcPr>
            <w:tcW w:w="2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EAF4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7B114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Author NR — DNP project (US)</w:t>
            </w:r>
          </w:p>
        </w:tc>
        <w:tc>
          <w:tcPr>
            <w:tcW w:w="4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EAF4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E9F60F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z w:val="18"/>
                <w:szCs w:val="18"/>
              </w:rPr>
              <w:t>Originally coded E7 (full text unavailable). After the abstract was retrieved from PubMed (PMID 40425307) and confirmed eligibility, the record was upgraded to inclusion as S042 (abstract-only extraction permitted per protocol §8.3).</w:t>
            </w:r>
          </w:p>
        </w:tc>
        <w:tc>
          <w:tcPr>
            <w:tcW w:w="12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EAF4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DDBB94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PMID 40425307; DOI 10.1891/JDNP-2024-0021</w:t>
            </w:r>
          </w:p>
        </w:tc>
        <w:tc>
          <w:tcPr>
            <w:tcW w:w="8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EAF4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4B005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S042 (incl.)</w:t>
            </w:r>
          </w:p>
        </w:tc>
      </w:tr>
    </w:tbl>
    <w:p w14:paraId="5881455E">
      <w:pPr>
        <w:spacing w:before="240" w:after="120" w:line="280" w:lineRule="auto"/>
      </w:pPr>
      <w:r>
        <w:rPr>
          <w:rFonts w:ascii="Arial" w:hAnsi="Arial" w:eastAsia="Arial" w:cs="Arial"/>
          <w:b/>
          <w:bCs/>
          <w:sz w:val="26"/>
          <w:szCs w:val="26"/>
        </w:rPr>
        <w:t>Summary of E-code counts</w:t>
      </w:r>
    </w:p>
    <w:tbl>
      <w:tblPr>
        <w:tblStyle w:val="1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81"/>
        <w:gridCol w:w="1462"/>
        <w:gridCol w:w="6117"/>
      </w:tblGrid>
      <w:tr w14:paraId="1EA5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ED19A5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E-code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723B81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Count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7FE7C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Notes</w:t>
            </w:r>
          </w:p>
        </w:tc>
      </w:tr>
      <w:tr w14:paraId="3EB21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624514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E1 — Not nurse-led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F3B32F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99FA6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EX013, EX014</w:t>
            </w:r>
          </w:p>
        </w:tc>
      </w:tr>
      <w:tr w14:paraId="0292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98481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E2 — Pediatric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A0BA44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B01BB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—</w:t>
            </w:r>
          </w:p>
        </w:tc>
      </w:tr>
      <w:tr w14:paraId="2362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29362D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E3 — Pharmacology only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60E961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428057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—</w:t>
            </w:r>
          </w:p>
        </w:tc>
      </w:tr>
      <w:tr w14:paraId="0F4CC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72696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E4 — Review article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C20AD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4E1AE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—</w:t>
            </w:r>
          </w:p>
        </w:tc>
      </w:tr>
      <w:tr w14:paraId="3776B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44CB08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E5 — Not adults with obesity/T2DM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0490D5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09C7D5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—</w:t>
            </w:r>
          </w:p>
        </w:tc>
      </w:tr>
      <w:tr w14:paraId="242D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941385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E6 — Not GLP-1 RA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CE84A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2532F2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EX012</w:t>
            </w:r>
          </w:p>
        </w:tc>
      </w:tr>
      <w:tr w14:paraId="7209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6E5BB3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E7 — Full text unavailable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FA1F14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68BD13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EX002–EX006 (after EX001 upgrade to S042)</w:t>
            </w:r>
          </w:p>
        </w:tc>
      </w:tr>
      <w:tr w14:paraId="3306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0F8E3F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E8 — Duplicate publication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3667AA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21FEE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EX007–EX011</w:t>
            </w:r>
          </w:p>
        </w:tc>
      </w:tr>
      <w:tr w14:paraId="2172A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B2CFBD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E9 — Pregnancy/lactation inseparable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5106E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4587CF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—</w:t>
            </w:r>
          </w:p>
        </w:tc>
      </w:tr>
      <w:tr w14:paraId="23DA5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503306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E10 — Opinion / editorial / letter / abstract-only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CAD7A7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C3DCBF">
            <w:pPr>
              <w:spacing w:after="30" w:line="240" w:lineRule="auto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Abstract-only S042 included per protocol §8.3</w:t>
            </w:r>
          </w:p>
        </w:tc>
      </w:tr>
      <w:tr w14:paraId="29A0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FC147C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TOTAL</w:t>
            </w:r>
          </w:p>
        </w:tc>
        <w:tc>
          <w:tcPr>
            <w:tcW w:w="150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F8B381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13</w:t>
            </w:r>
          </w:p>
        </w:tc>
        <w:tc>
          <w:tcPr>
            <w:tcW w:w="636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EB4874">
            <w:pPr>
              <w:spacing w:after="30" w:line="240" w:lineRule="auto"/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z w:val="18"/>
                <w:szCs w:val="18"/>
              </w:rPr>
              <w:t>Of 50 full texts assessed: 8 excluded with reasons + 5 unable to retrieve</w:t>
            </w:r>
          </w:p>
        </w:tc>
      </w:tr>
    </w:tbl>
    <w:p w14:paraId="2C23CF9E">
      <w:pPr>
        <w:spacing w:after="100" w:line="280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  <w:t>Cross-check with Figure 1 (PRISMA-ScR flow diagram): full-text reports assessed = 50; reports not retrieved (E7) = 5; reports excluded with documented reasons (E1 + E6 + E8) = 8; reports included = 50 − 8 = 42. The "Exclusion subtotal" of 13 in the data-extraction workbook (sheet ③ row 42) is a cross-check that includes E7 as a documented disposition; in the PRISMA flow diagram E7 is correctly displayed at the retrieval step rather than the exclusion step.</w:t>
      </w:r>
    </w:p>
    <w:p w14:paraId="49AB7C61">
      <w:pPr>
        <w:spacing w:before="240" w:after="120" w:line="280" w:lineRule="auto"/>
      </w:pPr>
      <w:r>
        <w:rPr>
          <w:rFonts w:ascii="Arial" w:hAnsi="Arial" w:eastAsia="Arial" w:cs="Arial"/>
          <w:b/>
          <w:bCs/>
          <w:sz w:val="26"/>
          <w:szCs w:val="26"/>
        </w:rPr>
        <w:t>Notes on conflict resolution</w:t>
      </w:r>
    </w:p>
    <w:p w14:paraId="2E637158">
      <w:pPr>
        <w:spacing w:after="100" w:line="280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  <w:t>• During full-text screening, the two reviewers independently applied the Sheer &amp; Wong nurse-led criteria and the E1–E10 codes; disagreements were resolved by discussion with the third reviewer acting as arbiter (Conflict Log, sheet ⑨ of the data-extraction workbook).</w:t>
      </w:r>
    </w:p>
    <w:p w14:paraId="5E317DDB">
      <w:pPr>
        <w:spacing w:after="100" w:line="280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  <w:t>• EX013 and EX014 (both originally retained by one reviewer) were resolved as E1 after re-reading; both interventions were delivered by dietitians, diabetes educators or pharmacists with no autonomous nursing role.</w:t>
      </w:r>
    </w:p>
    <w:p w14:paraId="37D470A2">
      <w:pPr>
        <w:spacing w:after="100" w:line="280" w:lineRule="auto"/>
        <w:jc w:val="left"/>
      </w:pPr>
      <w:r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  <w:t>• Two adjudication flags involving potentially overlapping cohorts (S010 vs S011 — Feng Hongyun) were carried forward into the included set rather than excluded as E8, pending further author contact, and are noted in the Discussion §4.6 limitations and in the data-extraction workbook reviewer notes.</w:t>
      </w:r>
    </w:p>
    <w:sectPr>
      <w:pgSz w:w="12240" w:h="15840"/>
      <w:pgMar w:top="1080" w:right="1080" w:bottom="1080" w:left="108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15293573"/>
    <w:rsid w:val="3BF82664"/>
    <w:rsid w:val="797F09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0"/>
      <w:szCs w:val="20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0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0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Arial" w:cs="Arial"/>
      <w:sz w:val="20"/>
      <w:szCs w:val="20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1017</Words>
  <Characters>5727</Characters>
  <TotalTime>2</TotalTime>
  <ScaleCrop>false</ScaleCrop>
  <LinksUpToDate>false</LinksUpToDate>
  <CharactersWithSpaces>6579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2026-05-20T02:22:00Z</dcterms:created>
  <dc:creator>Un-named</dc:creator>
  <cp:lastModifiedBy>WPS_1602384774</cp:lastModifiedBy>
  <dcterms:modified xsi:type="dcterms:W3CDTF">2026-05-26T06:34:01Z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eyJoZGlkIjoiNTk3NDE5MGNjNDIyNTMzOGRiYzM2Y2I0MWE3ZGJkZDAiLCJ1c2VySWQiOiIxMTI5NzkzNDUwIn0=</vt:lpwstr>
  </property>
  <property fmtid="{D5CDD505-2E9C-101B-9397-08002B2CF9AE}" pid="3" name="KSOProductBuildVer">
    <vt:lpwstr>2052-12.1.0.26375</vt:lpwstr>
  </property>
  <property fmtid="{D5CDD505-2E9C-101B-9397-08002B2CF9AE}" pid="4" name="ICV">
    <vt:lpwstr>1003A6EFC6F143D39F915790B13E1C6C_12</vt:lpwstr>
  </property>
</Properties>
</file>