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1E5D4" w14:textId="77777777" w:rsidR="002B7379" w:rsidRPr="00106047" w:rsidRDefault="002B7379" w:rsidP="002B7379">
      <w:pPr>
        <w:rPr>
          <w:rFonts w:ascii="Times New Roman" w:hAnsi="Times New Roman" w:cs="Times New Roman"/>
          <w:sz w:val="24"/>
          <w:szCs w:val="24"/>
        </w:rPr>
      </w:pPr>
      <w:r w:rsidRPr="00106047">
        <w:rPr>
          <w:rFonts w:ascii="Times New Roman" w:hAnsi="Times New Roman" w:cs="Times New Roman"/>
          <w:b/>
          <w:sz w:val="24"/>
          <w:szCs w:val="24"/>
        </w:rPr>
        <w:t>ROC analysis</w:t>
      </w:r>
    </w:p>
    <w:p w14:paraId="314AE2F6" w14:textId="5FA55307" w:rsidR="002B7379" w:rsidRPr="00106047" w:rsidRDefault="002B7379" w:rsidP="002B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047">
        <w:rPr>
          <w:rFonts w:ascii="Times New Roman" w:hAnsi="Times New Roman" w:cs="Times New Roman"/>
          <w:sz w:val="24"/>
          <w:szCs w:val="24"/>
        </w:rPr>
        <w:t>Receiver operating characteristic (ROC) curve analysis was performed to evaluate the ability of stone area to predict P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106047">
        <w:rPr>
          <w:rFonts w:ascii="Times New Roman" w:hAnsi="Times New Roman" w:cs="Times New Roman"/>
          <w:sz w:val="24"/>
          <w:szCs w:val="24"/>
        </w:rPr>
        <w:t>NL selection. Stone area demonstrated a good discriminatory capacity for distinguishing patients treated with P</w:t>
      </w:r>
      <w:r w:rsidR="00411EA4">
        <w:rPr>
          <w:rFonts w:ascii="Times New Roman" w:hAnsi="Times New Roman" w:cs="Times New Roman"/>
          <w:sz w:val="24"/>
          <w:szCs w:val="24"/>
        </w:rPr>
        <w:t>C</w:t>
      </w:r>
      <w:r w:rsidRPr="00106047">
        <w:rPr>
          <w:rFonts w:ascii="Times New Roman" w:hAnsi="Times New Roman" w:cs="Times New Roman"/>
          <w:sz w:val="24"/>
          <w:szCs w:val="24"/>
        </w:rPr>
        <w:t>NL from those treated with RIRS, with an area under the curve (AUC) of 0.788 (95% CI: 0.705–0.863). Using the Youden index, the optimal cut-off value for stone area was identified as 126 mm², yielding a sensitivity of 89.9% and a specificity of 56.2% for predicting P</w:t>
      </w:r>
      <w:r w:rsidR="00411EA4">
        <w:rPr>
          <w:rFonts w:ascii="Times New Roman" w:hAnsi="Times New Roman" w:cs="Times New Roman"/>
          <w:sz w:val="24"/>
          <w:szCs w:val="24"/>
        </w:rPr>
        <w:t>C</w:t>
      </w:r>
      <w:r w:rsidRPr="00106047">
        <w:rPr>
          <w:rFonts w:ascii="Times New Roman" w:hAnsi="Times New Roman" w:cs="Times New Roman"/>
          <w:sz w:val="24"/>
          <w:szCs w:val="24"/>
        </w:rPr>
        <w:t>NL selection in the study cohort.</w:t>
      </w:r>
    </w:p>
    <w:p w14:paraId="651903A7" w14:textId="77777777" w:rsidR="002B7379" w:rsidRDefault="002B7379" w:rsidP="002B7379">
      <w:r w:rsidRPr="00106047">
        <w:rPr>
          <w:rFonts w:ascii="Times New Roman" w:hAnsi="Times New Roman" w:cs="Times New Roman"/>
          <w:noProof/>
        </w:rPr>
        <w:drawing>
          <wp:inline distT="0" distB="0" distL="0" distR="0" wp14:anchorId="5B55FFE2" wp14:editId="06B2790A">
            <wp:extent cx="5753100" cy="4606538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c_stone_pnl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0718" cy="4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81D35" w14:textId="0BAE0479" w:rsidR="002B7379" w:rsidRPr="002B7379" w:rsidRDefault="002B7379" w:rsidP="002B7379">
      <w:r w:rsidRPr="00106047">
        <w:rPr>
          <w:rFonts w:ascii="Times New Roman" w:hAnsi="Times New Roman" w:cs="Times New Roman"/>
          <w:b/>
          <w:bCs/>
        </w:rPr>
        <w:t>Figure 1. Receiver operating characteristic (ROC) curve of stone area for predicting the selection of percutaneous nephrolithotomy (P</w:t>
      </w:r>
      <w:r>
        <w:rPr>
          <w:rFonts w:ascii="Times New Roman" w:hAnsi="Times New Roman" w:cs="Times New Roman"/>
          <w:b/>
          <w:bCs/>
        </w:rPr>
        <w:t>C</w:t>
      </w:r>
      <w:r w:rsidRPr="00106047">
        <w:rPr>
          <w:rFonts w:ascii="Times New Roman" w:hAnsi="Times New Roman" w:cs="Times New Roman"/>
          <w:b/>
          <w:bCs/>
        </w:rPr>
        <w:t>NL).</w:t>
      </w:r>
    </w:p>
    <w:p w14:paraId="5AEBCCAE" w14:textId="77777777" w:rsidR="002B7379" w:rsidRDefault="002B7379"/>
    <w:sectPr w:rsidR="002B7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D04"/>
    <w:rsid w:val="00262D04"/>
    <w:rsid w:val="002B7379"/>
    <w:rsid w:val="00411EA4"/>
    <w:rsid w:val="006D295F"/>
    <w:rsid w:val="00860728"/>
    <w:rsid w:val="00A8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88AB1"/>
  <w15:chartTrackingRefBased/>
  <w15:docId w15:val="{9775B3C5-8DF6-4BE8-B357-D3A4CEC81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379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62D0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tr-TR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62D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tr-TR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62D0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tr-TR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62D0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tr-TR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62D0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tr-TR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62D0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tr-TR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62D0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tr-TR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62D0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tr-TR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62D0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tr-TR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62D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62D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62D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62D0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62D0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62D0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62D0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62D0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62D0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62D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62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62D0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tr-TR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262D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62D04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tr-TR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262D0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62D04"/>
    <w:pPr>
      <w:spacing w:after="160" w:line="259" w:lineRule="auto"/>
      <w:ind w:left="720"/>
      <w:contextualSpacing/>
    </w:pPr>
    <w:rPr>
      <w:rFonts w:eastAsiaTheme="minorHAnsi"/>
      <w:kern w:val="2"/>
      <w:lang w:val="tr-TR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262D0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62D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tr-TR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262D0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62D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a9856</dc:creator>
  <cp:keywords/>
  <dc:description/>
  <cp:lastModifiedBy>a9856</cp:lastModifiedBy>
  <cp:revision>3</cp:revision>
  <dcterms:created xsi:type="dcterms:W3CDTF">2026-05-03T08:35:00Z</dcterms:created>
  <dcterms:modified xsi:type="dcterms:W3CDTF">2026-05-03T08:36:00Z</dcterms:modified>
</cp:coreProperties>
</file>