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E4727" w14:textId="2B3A9007" w:rsidR="004E7B3A" w:rsidRPr="00054282" w:rsidRDefault="004E7B3A" w:rsidP="004E7B3A">
      <w:pPr>
        <w:spacing w:line="480" w:lineRule="auto"/>
        <w:rPr>
          <w:rFonts w:ascii="Times New Roman" w:hAnsi="Times New Roman" w:cs="Times New Roman"/>
          <w:color w:val="000000" w:themeColor="text1"/>
          <w:sz w:val="28"/>
          <w:szCs w:val="28"/>
        </w:rPr>
      </w:pPr>
      <w:bookmarkStart w:id="0" w:name="_Ref169088816"/>
      <w:r>
        <w:rPr>
          <w:rFonts w:ascii="Times New Roman" w:hAnsi="Times New Roman" w:cs="Times New Roman"/>
          <w:color w:val="000000" w:themeColor="text1"/>
          <w:sz w:val="28"/>
          <w:szCs w:val="28"/>
        </w:rPr>
        <w:t>S</w:t>
      </w:r>
      <w:r w:rsidRPr="00054282">
        <w:rPr>
          <w:rFonts w:ascii="Times New Roman" w:hAnsi="Times New Roman" w:cs="Times New Roman"/>
          <w:color w:val="000000" w:themeColor="text1"/>
          <w:sz w:val="28"/>
          <w:szCs w:val="28"/>
        </w:rPr>
        <w:t>upplementary</w:t>
      </w:r>
      <w:r>
        <w:rPr>
          <w:rFonts w:ascii="Times New Roman" w:hAnsi="Times New Roman" w:cs="Times New Roman"/>
          <w:color w:val="000000" w:themeColor="text1"/>
          <w:sz w:val="28"/>
          <w:szCs w:val="28"/>
        </w:rPr>
        <w:t xml:space="preserve"> Information</w:t>
      </w:r>
    </w:p>
    <w:p w14:paraId="641C76B6" w14:textId="37D95116" w:rsidR="004E7B3A" w:rsidRPr="00A251A5" w:rsidRDefault="009A5C96" w:rsidP="004E7B3A">
      <w:pPr>
        <w:spacing w:line="480" w:lineRule="auto"/>
        <w:rPr>
          <w:rFonts w:ascii="Times New Roman" w:hAnsi="Times New Roman" w:cs="Times New Roman"/>
          <w:sz w:val="24"/>
          <w:szCs w:val="24"/>
        </w:rPr>
      </w:pPr>
      <w:r>
        <w:rPr>
          <w:rFonts w:ascii="Times New Roman" w:hAnsi="Times New Roman" w:cs="Times New Roman"/>
          <w:sz w:val="24"/>
          <w:szCs w:val="24"/>
        </w:rPr>
        <w:t xml:space="preserve">Supplementary </w:t>
      </w:r>
      <w:r w:rsidR="004E7B3A" w:rsidRPr="00A251A5">
        <w:rPr>
          <w:rFonts w:ascii="Times New Roman" w:hAnsi="Times New Roman" w:cs="Times New Roman"/>
          <w:sz w:val="24"/>
          <w:szCs w:val="24"/>
        </w:rPr>
        <w:t xml:space="preserve">Table </w:t>
      </w:r>
      <w:r>
        <w:rPr>
          <w:rFonts w:ascii="Times New Roman" w:hAnsi="Times New Roman" w:cs="Times New Roman"/>
          <w:sz w:val="24"/>
          <w:szCs w:val="24"/>
        </w:rPr>
        <w:t>S</w:t>
      </w:r>
      <w:r w:rsidR="004E7B3A" w:rsidRPr="00A251A5">
        <w:rPr>
          <w:rFonts w:ascii="Times New Roman" w:hAnsi="Times New Roman" w:cs="Times New Roman"/>
          <w:sz w:val="24"/>
          <w:szCs w:val="24"/>
        </w:rPr>
        <w:fldChar w:fldCharType="begin"/>
      </w:r>
      <w:r w:rsidR="004E7B3A" w:rsidRPr="00A251A5">
        <w:rPr>
          <w:rFonts w:ascii="Times New Roman" w:hAnsi="Times New Roman" w:cs="Times New Roman"/>
          <w:sz w:val="24"/>
          <w:szCs w:val="24"/>
        </w:rPr>
        <w:instrText xml:space="preserve"> SEQ Table \* ARABIC </w:instrText>
      </w:r>
      <w:r w:rsidR="004E7B3A" w:rsidRPr="00A251A5">
        <w:rPr>
          <w:rFonts w:ascii="Times New Roman" w:hAnsi="Times New Roman" w:cs="Times New Roman"/>
          <w:sz w:val="24"/>
          <w:szCs w:val="24"/>
        </w:rPr>
        <w:fldChar w:fldCharType="separate"/>
      </w:r>
      <w:r w:rsidR="004E7B3A">
        <w:rPr>
          <w:rFonts w:ascii="Times New Roman" w:hAnsi="Times New Roman" w:cs="Times New Roman"/>
          <w:noProof/>
          <w:sz w:val="24"/>
          <w:szCs w:val="24"/>
        </w:rPr>
        <w:t>1</w:t>
      </w:r>
      <w:r w:rsidR="004E7B3A" w:rsidRPr="00A251A5">
        <w:rPr>
          <w:rFonts w:ascii="Times New Roman" w:hAnsi="Times New Roman" w:cs="Times New Roman"/>
          <w:sz w:val="24"/>
          <w:szCs w:val="24"/>
        </w:rPr>
        <w:fldChar w:fldCharType="end"/>
      </w:r>
      <w:bookmarkEnd w:id="0"/>
      <w:r w:rsidR="004E7B3A" w:rsidRPr="00A251A5">
        <w:rPr>
          <w:rFonts w:ascii="Times New Roman" w:hAnsi="Times New Roman" w:cs="Times New Roman"/>
          <w:sz w:val="24"/>
          <w:szCs w:val="24"/>
        </w:rPr>
        <w:t xml:space="preserve"> Summary of the fish and cephalopod sampling used within the study including year, month, region, method of sampling, and gear specifications. See full dataset for the metadata associated with each haul used in the study. </w:t>
      </w:r>
    </w:p>
    <w:tbl>
      <w:tblPr>
        <w:tblStyle w:val="TableGrid"/>
        <w:tblW w:w="9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144"/>
        <w:gridCol w:w="1124"/>
        <w:gridCol w:w="3685"/>
        <w:gridCol w:w="2361"/>
      </w:tblGrid>
      <w:tr w:rsidR="004E7B3A" w:rsidRPr="00A251A5" w14:paraId="3F67D09E" w14:textId="77777777" w:rsidTr="00203000">
        <w:trPr>
          <w:trHeight w:val="252"/>
          <w:jc w:val="center"/>
        </w:trPr>
        <w:tc>
          <w:tcPr>
            <w:tcW w:w="851" w:type="dxa"/>
            <w:tcBorders>
              <w:top w:val="single" w:sz="4" w:space="0" w:color="auto"/>
              <w:bottom w:val="single" w:sz="4" w:space="0" w:color="auto"/>
            </w:tcBorders>
          </w:tcPr>
          <w:p w14:paraId="33031243" w14:textId="77777777" w:rsidR="004E7B3A" w:rsidRPr="00A251A5" w:rsidRDefault="004E7B3A" w:rsidP="00203000">
            <w:pPr>
              <w:rPr>
                <w:rFonts w:ascii="Times New Roman" w:hAnsi="Times New Roman" w:cs="Times New Roman"/>
                <w:b/>
                <w:bCs/>
              </w:rPr>
            </w:pPr>
            <w:r w:rsidRPr="00A251A5">
              <w:rPr>
                <w:rFonts w:ascii="Times New Roman" w:hAnsi="Times New Roman" w:cs="Times New Roman"/>
                <w:b/>
                <w:bCs/>
              </w:rPr>
              <w:t>Year</w:t>
            </w:r>
          </w:p>
        </w:tc>
        <w:tc>
          <w:tcPr>
            <w:tcW w:w="1144" w:type="dxa"/>
            <w:tcBorders>
              <w:top w:val="single" w:sz="4" w:space="0" w:color="auto"/>
              <w:bottom w:val="single" w:sz="4" w:space="0" w:color="auto"/>
            </w:tcBorders>
          </w:tcPr>
          <w:p w14:paraId="17E06EA2" w14:textId="77777777" w:rsidR="004E7B3A" w:rsidRPr="00A251A5" w:rsidRDefault="004E7B3A" w:rsidP="00203000">
            <w:pPr>
              <w:rPr>
                <w:rFonts w:ascii="Times New Roman" w:hAnsi="Times New Roman" w:cs="Times New Roman"/>
                <w:b/>
                <w:bCs/>
              </w:rPr>
            </w:pPr>
            <w:r w:rsidRPr="00A251A5">
              <w:rPr>
                <w:rFonts w:ascii="Times New Roman" w:hAnsi="Times New Roman" w:cs="Times New Roman"/>
                <w:b/>
                <w:bCs/>
              </w:rPr>
              <w:t>Month</w:t>
            </w:r>
          </w:p>
        </w:tc>
        <w:tc>
          <w:tcPr>
            <w:tcW w:w="1124" w:type="dxa"/>
            <w:tcBorders>
              <w:top w:val="single" w:sz="4" w:space="0" w:color="auto"/>
              <w:bottom w:val="single" w:sz="4" w:space="0" w:color="auto"/>
            </w:tcBorders>
          </w:tcPr>
          <w:p w14:paraId="1800EB9C" w14:textId="77777777" w:rsidR="004E7B3A" w:rsidRPr="00A251A5" w:rsidRDefault="004E7B3A" w:rsidP="00203000">
            <w:pPr>
              <w:rPr>
                <w:rFonts w:ascii="Times New Roman" w:hAnsi="Times New Roman" w:cs="Times New Roman"/>
                <w:b/>
                <w:bCs/>
              </w:rPr>
            </w:pPr>
            <w:r w:rsidRPr="00A251A5">
              <w:rPr>
                <w:rFonts w:ascii="Times New Roman" w:hAnsi="Times New Roman" w:cs="Times New Roman"/>
                <w:b/>
                <w:bCs/>
              </w:rPr>
              <w:t>Region</w:t>
            </w:r>
          </w:p>
        </w:tc>
        <w:tc>
          <w:tcPr>
            <w:tcW w:w="3685" w:type="dxa"/>
            <w:tcBorders>
              <w:top w:val="single" w:sz="4" w:space="0" w:color="auto"/>
              <w:bottom w:val="single" w:sz="4" w:space="0" w:color="auto"/>
            </w:tcBorders>
          </w:tcPr>
          <w:p w14:paraId="765B8055" w14:textId="77777777" w:rsidR="004E7B3A" w:rsidRPr="00A251A5" w:rsidRDefault="004E7B3A" w:rsidP="00203000">
            <w:pPr>
              <w:rPr>
                <w:rFonts w:ascii="Times New Roman" w:hAnsi="Times New Roman" w:cs="Times New Roman"/>
                <w:b/>
                <w:bCs/>
              </w:rPr>
            </w:pPr>
            <w:r w:rsidRPr="00A251A5">
              <w:rPr>
                <w:rFonts w:ascii="Times New Roman" w:hAnsi="Times New Roman" w:cs="Times New Roman"/>
                <w:b/>
                <w:bCs/>
              </w:rPr>
              <w:t>Method</w:t>
            </w:r>
          </w:p>
        </w:tc>
        <w:tc>
          <w:tcPr>
            <w:tcW w:w="2361" w:type="dxa"/>
            <w:tcBorders>
              <w:top w:val="single" w:sz="4" w:space="0" w:color="auto"/>
              <w:bottom w:val="single" w:sz="4" w:space="0" w:color="auto"/>
            </w:tcBorders>
          </w:tcPr>
          <w:p w14:paraId="2F5733B7" w14:textId="77777777" w:rsidR="004E7B3A" w:rsidRPr="00A251A5" w:rsidRDefault="004E7B3A" w:rsidP="00203000">
            <w:pPr>
              <w:rPr>
                <w:rFonts w:ascii="Times New Roman" w:hAnsi="Times New Roman" w:cs="Times New Roman"/>
                <w:b/>
                <w:bCs/>
              </w:rPr>
            </w:pPr>
            <w:r w:rsidRPr="00A251A5">
              <w:rPr>
                <w:rFonts w:ascii="Times New Roman" w:hAnsi="Times New Roman" w:cs="Times New Roman"/>
                <w:b/>
                <w:bCs/>
              </w:rPr>
              <w:t xml:space="preserve">Gear specifications </w:t>
            </w:r>
          </w:p>
        </w:tc>
      </w:tr>
      <w:tr w:rsidR="004E7B3A" w:rsidRPr="00A251A5" w14:paraId="5EF3BC0C" w14:textId="77777777" w:rsidTr="00203000">
        <w:trPr>
          <w:trHeight w:val="168"/>
          <w:jc w:val="center"/>
        </w:trPr>
        <w:tc>
          <w:tcPr>
            <w:tcW w:w="851" w:type="dxa"/>
            <w:tcBorders>
              <w:top w:val="single" w:sz="4" w:space="0" w:color="auto"/>
              <w:bottom w:val="single" w:sz="4" w:space="0" w:color="ADADAD" w:themeColor="background2" w:themeShade="BF"/>
            </w:tcBorders>
          </w:tcPr>
          <w:p w14:paraId="0CBB0EC6"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2019</w:t>
            </w:r>
          </w:p>
        </w:tc>
        <w:tc>
          <w:tcPr>
            <w:tcW w:w="1144" w:type="dxa"/>
            <w:tcBorders>
              <w:top w:val="single" w:sz="4" w:space="0" w:color="auto"/>
              <w:bottom w:val="single" w:sz="4" w:space="0" w:color="ADADAD" w:themeColor="background2" w:themeShade="BF"/>
            </w:tcBorders>
          </w:tcPr>
          <w:p w14:paraId="7F327F71"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June</w:t>
            </w:r>
          </w:p>
        </w:tc>
        <w:tc>
          <w:tcPr>
            <w:tcW w:w="1124" w:type="dxa"/>
            <w:tcBorders>
              <w:top w:val="single" w:sz="4" w:space="0" w:color="auto"/>
              <w:bottom w:val="single" w:sz="4" w:space="0" w:color="ADADAD" w:themeColor="background2" w:themeShade="BF"/>
            </w:tcBorders>
          </w:tcPr>
          <w:p w14:paraId="4F50171F"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Moray Firth</w:t>
            </w:r>
          </w:p>
        </w:tc>
        <w:tc>
          <w:tcPr>
            <w:tcW w:w="3685" w:type="dxa"/>
            <w:tcBorders>
              <w:top w:val="single" w:sz="4" w:space="0" w:color="auto"/>
              <w:bottom w:val="single" w:sz="4" w:space="0" w:color="ADADAD" w:themeColor="background2" w:themeShade="BF"/>
            </w:tcBorders>
          </w:tcPr>
          <w:p w14:paraId="4E93F0E1"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International Young Gadoid Pelagic Trawl </w:t>
            </w:r>
          </w:p>
        </w:tc>
        <w:tc>
          <w:tcPr>
            <w:tcW w:w="2361" w:type="dxa"/>
            <w:tcBorders>
              <w:top w:val="single" w:sz="4" w:space="0" w:color="auto"/>
              <w:bottom w:val="single" w:sz="4" w:space="0" w:color="ADADAD" w:themeColor="background2" w:themeShade="BF"/>
            </w:tcBorders>
          </w:tcPr>
          <w:p w14:paraId="1C8CC1CE"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6 mm mesh cod-end</w:t>
            </w:r>
          </w:p>
        </w:tc>
      </w:tr>
      <w:tr w:rsidR="004E7B3A" w:rsidRPr="00A251A5" w14:paraId="29295015" w14:textId="77777777" w:rsidTr="00203000">
        <w:trPr>
          <w:trHeight w:val="446"/>
          <w:jc w:val="center"/>
        </w:trPr>
        <w:tc>
          <w:tcPr>
            <w:tcW w:w="851" w:type="dxa"/>
            <w:tcBorders>
              <w:top w:val="single" w:sz="4" w:space="0" w:color="ADADAD" w:themeColor="background2" w:themeShade="BF"/>
              <w:bottom w:val="single" w:sz="4" w:space="0" w:color="ADADAD" w:themeColor="background2" w:themeShade="BF"/>
            </w:tcBorders>
          </w:tcPr>
          <w:p w14:paraId="47820BC0"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2021</w:t>
            </w:r>
          </w:p>
        </w:tc>
        <w:tc>
          <w:tcPr>
            <w:tcW w:w="1144" w:type="dxa"/>
            <w:tcBorders>
              <w:top w:val="single" w:sz="4" w:space="0" w:color="ADADAD" w:themeColor="background2" w:themeShade="BF"/>
              <w:bottom w:val="single" w:sz="4" w:space="0" w:color="ADADAD" w:themeColor="background2" w:themeShade="BF"/>
            </w:tcBorders>
          </w:tcPr>
          <w:p w14:paraId="63099419"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October</w:t>
            </w:r>
          </w:p>
        </w:tc>
        <w:tc>
          <w:tcPr>
            <w:tcW w:w="1124" w:type="dxa"/>
            <w:tcBorders>
              <w:top w:val="single" w:sz="4" w:space="0" w:color="ADADAD" w:themeColor="background2" w:themeShade="BF"/>
              <w:bottom w:val="single" w:sz="4" w:space="0" w:color="ADADAD" w:themeColor="background2" w:themeShade="BF"/>
            </w:tcBorders>
          </w:tcPr>
          <w:p w14:paraId="01836AA3"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Moray Firth</w:t>
            </w:r>
          </w:p>
        </w:tc>
        <w:tc>
          <w:tcPr>
            <w:tcW w:w="3685" w:type="dxa"/>
            <w:tcBorders>
              <w:top w:val="single" w:sz="4" w:space="0" w:color="ADADAD" w:themeColor="background2" w:themeShade="BF"/>
              <w:bottom w:val="single" w:sz="4" w:space="0" w:color="ADADAD" w:themeColor="background2" w:themeShade="BF"/>
            </w:tcBorders>
          </w:tcPr>
          <w:p w14:paraId="299EA3BE" w14:textId="77777777" w:rsidR="004E7B3A" w:rsidRPr="00A251A5" w:rsidRDefault="004E7B3A" w:rsidP="00203000">
            <w:pPr>
              <w:rPr>
                <w:rFonts w:ascii="Times New Roman" w:hAnsi="Times New Roman" w:cs="Times New Roman"/>
              </w:rPr>
            </w:pPr>
            <w:r w:rsidRPr="00A251A5">
              <w:rPr>
                <w:rFonts w:ascii="Times New Roman" w:hAnsi="Times New Roman" w:cs="Times New Roman"/>
                <w:kern w:val="0"/>
              </w:rPr>
              <w:t>Benthic Trawl, Modified scallop dredge</w:t>
            </w:r>
          </w:p>
        </w:tc>
        <w:tc>
          <w:tcPr>
            <w:tcW w:w="2361" w:type="dxa"/>
            <w:tcBorders>
              <w:top w:val="single" w:sz="4" w:space="0" w:color="ADADAD" w:themeColor="background2" w:themeShade="BF"/>
              <w:bottom w:val="single" w:sz="4" w:space="0" w:color="ADADAD" w:themeColor="background2" w:themeShade="BF"/>
            </w:tcBorders>
          </w:tcPr>
          <w:p w14:paraId="45FC702A"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Not reported,</w:t>
            </w:r>
          </w:p>
          <w:p w14:paraId="0067CCD2"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Modified 4’ scallop dredge with 6” teeth</w:t>
            </w:r>
          </w:p>
        </w:tc>
      </w:tr>
      <w:tr w:rsidR="004E7B3A" w:rsidRPr="00A251A5" w14:paraId="15F6B4FD" w14:textId="77777777" w:rsidTr="00203000">
        <w:trPr>
          <w:trHeight w:val="415"/>
          <w:jc w:val="center"/>
        </w:trPr>
        <w:tc>
          <w:tcPr>
            <w:tcW w:w="851" w:type="dxa"/>
            <w:vMerge w:val="restart"/>
            <w:tcBorders>
              <w:top w:val="single" w:sz="4" w:space="0" w:color="ADADAD" w:themeColor="background2" w:themeShade="BF"/>
              <w:bottom w:val="single" w:sz="4" w:space="0" w:color="ADADAD" w:themeColor="background2" w:themeShade="BF"/>
            </w:tcBorders>
            <w:vAlign w:val="center"/>
          </w:tcPr>
          <w:p w14:paraId="30F20D86"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2022</w:t>
            </w:r>
          </w:p>
        </w:tc>
        <w:tc>
          <w:tcPr>
            <w:tcW w:w="1144" w:type="dxa"/>
            <w:tcBorders>
              <w:top w:val="single" w:sz="4" w:space="0" w:color="ADADAD" w:themeColor="background2" w:themeShade="BF"/>
              <w:bottom w:val="single" w:sz="4" w:space="0" w:color="ADADAD" w:themeColor="background2" w:themeShade="BF"/>
            </w:tcBorders>
          </w:tcPr>
          <w:p w14:paraId="50FD9203"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June - July</w:t>
            </w:r>
          </w:p>
        </w:tc>
        <w:tc>
          <w:tcPr>
            <w:tcW w:w="1124" w:type="dxa"/>
            <w:tcBorders>
              <w:top w:val="single" w:sz="4" w:space="0" w:color="ADADAD" w:themeColor="background2" w:themeShade="BF"/>
              <w:bottom w:val="single" w:sz="4" w:space="0" w:color="ADADAD" w:themeColor="background2" w:themeShade="BF"/>
            </w:tcBorders>
          </w:tcPr>
          <w:p w14:paraId="2AD7701B"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Firth of Forth</w:t>
            </w:r>
          </w:p>
        </w:tc>
        <w:tc>
          <w:tcPr>
            <w:tcW w:w="3685" w:type="dxa"/>
            <w:tcBorders>
              <w:top w:val="single" w:sz="4" w:space="0" w:color="ADADAD" w:themeColor="background2" w:themeShade="BF"/>
              <w:bottom w:val="single" w:sz="4" w:space="0" w:color="ADADAD" w:themeColor="background2" w:themeShade="BF"/>
            </w:tcBorders>
          </w:tcPr>
          <w:p w14:paraId="25F48EAE"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International Young Gadoid Trawl, Jackson Rockhopper Trawl </w:t>
            </w:r>
          </w:p>
        </w:tc>
        <w:tc>
          <w:tcPr>
            <w:tcW w:w="2361" w:type="dxa"/>
            <w:tcBorders>
              <w:top w:val="single" w:sz="4" w:space="0" w:color="ADADAD" w:themeColor="background2" w:themeShade="BF"/>
              <w:bottom w:val="single" w:sz="4" w:space="0" w:color="ADADAD" w:themeColor="background2" w:themeShade="BF"/>
            </w:tcBorders>
          </w:tcPr>
          <w:p w14:paraId="32127F01"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6 mm mesh cod-end, </w:t>
            </w:r>
          </w:p>
          <w:p w14:paraId="0A9F2262"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10 mm mesh cod-end</w:t>
            </w:r>
          </w:p>
        </w:tc>
      </w:tr>
      <w:tr w:rsidR="004E7B3A" w:rsidRPr="00A251A5" w14:paraId="09318E64" w14:textId="77777777" w:rsidTr="00203000">
        <w:trPr>
          <w:trHeight w:val="88"/>
          <w:jc w:val="center"/>
        </w:trPr>
        <w:tc>
          <w:tcPr>
            <w:tcW w:w="851" w:type="dxa"/>
            <w:vMerge/>
            <w:tcBorders>
              <w:top w:val="single" w:sz="4" w:space="0" w:color="ADADAD" w:themeColor="background2" w:themeShade="BF"/>
              <w:bottom w:val="single" w:sz="4" w:space="0" w:color="ADADAD" w:themeColor="background2" w:themeShade="BF"/>
            </w:tcBorders>
          </w:tcPr>
          <w:p w14:paraId="348A07E8" w14:textId="77777777" w:rsidR="004E7B3A" w:rsidRPr="00A251A5" w:rsidRDefault="004E7B3A" w:rsidP="00203000">
            <w:pPr>
              <w:rPr>
                <w:rFonts w:ascii="Times New Roman" w:hAnsi="Times New Roman" w:cs="Times New Roman"/>
              </w:rPr>
            </w:pPr>
          </w:p>
        </w:tc>
        <w:tc>
          <w:tcPr>
            <w:tcW w:w="1144" w:type="dxa"/>
            <w:tcBorders>
              <w:top w:val="single" w:sz="4" w:space="0" w:color="ADADAD" w:themeColor="background2" w:themeShade="BF"/>
              <w:bottom w:val="single" w:sz="4" w:space="0" w:color="ADADAD" w:themeColor="background2" w:themeShade="BF"/>
            </w:tcBorders>
          </w:tcPr>
          <w:p w14:paraId="2E5E1963"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December</w:t>
            </w:r>
          </w:p>
        </w:tc>
        <w:tc>
          <w:tcPr>
            <w:tcW w:w="1124" w:type="dxa"/>
            <w:tcBorders>
              <w:top w:val="single" w:sz="4" w:space="0" w:color="ADADAD" w:themeColor="background2" w:themeShade="BF"/>
              <w:bottom w:val="single" w:sz="4" w:space="0" w:color="ADADAD" w:themeColor="background2" w:themeShade="BF"/>
            </w:tcBorders>
          </w:tcPr>
          <w:p w14:paraId="6B00B717"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Firth of Forth</w:t>
            </w:r>
          </w:p>
        </w:tc>
        <w:tc>
          <w:tcPr>
            <w:tcW w:w="3685" w:type="dxa"/>
            <w:tcBorders>
              <w:top w:val="single" w:sz="4" w:space="0" w:color="ADADAD" w:themeColor="background2" w:themeShade="BF"/>
              <w:bottom w:val="single" w:sz="4" w:space="0" w:color="ADADAD" w:themeColor="background2" w:themeShade="BF"/>
            </w:tcBorders>
          </w:tcPr>
          <w:p w14:paraId="157CDC2D" w14:textId="77777777" w:rsidR="004E7B3A" w:rsidRPr="00A251A5" w:rsidRDefault="004E7B3A" w:rsidP="00203000">
            <w:pPr>
              <w:rPr>
                <w:rFonts w:ascii="Times New Roman" w:hAnsi="Times New Roman" w:cs="Times New Roman"/>
              </w:rPr>
            </w:pPr>
            <w:r w:rsidRPr="00A251A5">
              <w:rPr>
                <w:rFonts w:ascii="Times New Roman" w:hAnsi="Times New Roman" w:cs="Times New Roman"/>
                <w:kern w:val="0"/>
              </w:rPr>
              <w:t>Sandeel dredge</w:t>
            </w:r>
          </w:p>
        </w:tc>
        <w:tc>
          <w:tcPr>
            <w:tcW w:w="2361" w:type="dxa"/>
            <w:tcBorders>
              <w:top w:val="single" w:sz="4" w:space="0" w:color="ADADAD" w:themeColor="background2" w:themeShade="BF"/>
              <w:bottom w:val="single" w:sz="4" w:space="0" w:color="ADADAD" w:themeColor="background2" w:themeShade="BF"/>
            </w:tcBorders>
          </w:tcPr>
          <w:p w14:paraId="721776B2"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Modified 4’ scallop dredge with 6” teeth</w:t>
            </w:r>
          </w:p>
        </w:tc>
      </w:tr>
      <w:tr w:rsidR="004E7B3A" w:rsidRPr="00A251A5" w14:paraId="1FE55350" w14:textId="77777777" w:rsidTr="00203000">
        <w:trPr>
          <w:trHeight w:val="157"/>
          <w:jc w:val="center"/>
        </w:trPr>
        <w:tc>
          <w:tcPr>
            <w:tcW w:w="851" w:type="dxa"/>
            <w:vMerge w:val="restart"/>
            <w:tcBorders>
              <w:top w:val="single" w:sz="4" w:space="0" w:color="ADADAD" w:themeColor="background2" w:themeShade="BF"/>
            </w:tcBorders>
            <w:vAlign w:val="center"/>
          </w:tcPr>
          <w:p w14:paraId="4D305264"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2023</w:t>
            </w:r>
          </w:p>
        </w:tc>
        <w:tc>
          <w:tcPr>
            <w:tcW w:w="1144" w:type="dxa"/>
            <w:tcBorders>
              <w:top w:val="single" w:sz="4" w:space="0" w:color="ADADAD" w:themeColor="background2" w:themeShade="BF"/>
              <w:bottom w:val="single" w:sz="4" w:space="0" w:color="ADADAD" w:themeColor="background2" w:themeShade="BF"/>
            </w:tcBorders>
          </w:tcPr>
          <w:p w14:paraId="51D5ABC8"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June</w:t>
            </w:r>
          </w:p>
        </w:tc>
        <w:tc>
          <w:tcPr>
            <w:tcW w:w="1124" w:type="dxa"/>
            <w:tcBorders>
              <w:top w:val="single" w:sz="4" w:space="0" w:color="ADADAD" w:themeColor="background2" w:themeShade="BF"/>
              <w:bottom w:val="single" w:sz="4" w:space="0" w:color="ADADAD" w:themeColor="background2" w:themeShade="BF"/>
            </w:tcBorders>
          </w:tcPr>
          <w:p w14:paraId="0D2BEF40"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Moray Firth</w:t>
            </w:r>
          </w:p>
        </w:tc>
        <w:tc>
          <w:tcPr>
            <w:tcW w:w="3685" w:type="dxa"/>
            <w:tcBorders>
              <w:top w:val="single" w:sz="4" w:space="0" w:color="ADADAD" w:themeColor="background2" w:themeShade="BF"/>
              <w:bottom w:val="single" w:sz="4" w:space="0" w:color="ADADAD" w:themeColor="background2" w:themeShade="BF"/>
            </w:tcBorders>
          </w:tcPr>
          <w:p w14:paraId="69862AB0"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International Young Gadoid Trawl, Jackson Rockhopper Trawl </w:t>
            </w:r>
          </w:p>
        </w:tc>
        <w:tc>
          <w:tcPr>
            <w:tcW w:w="2361" w:type="dxa"/>
            <w:tcBorders>
              <w:top w:val="single" w:sz="4" w:space="0" w:color="ADADAD" w:themeColor="background2" w:themeShade="BF"/>
              <w:bottom w:val="single" w:sz="4" w:space="0" w:color="ADADAD" w:themeColor="background2" w:themeShade="BF"/>
            </w:tcBorders>
          </w:tcPr>
          <w:p w14:paraId="5B2083DE"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6 mm mesh cod-end, </w:t>
            </w:r>
          </w:p>
          <w:p w14:paraId="096FC500"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10 mm mesh cod-end</w:t>
            </w:r>
          </w:p>
        </w:tc>
      </w:tr>
      <w:tr w:rsidR="004E7B3A" w:rsidRPr="00A251A5" w14:paraId="0E4876BF" w14:textId="77777777" w:rsidTr="00203000">
        <w:trPr>
          <w:trHeight w:val="157"/>
          <w:jc w:val="center"/>
        </w:trPr>
        <w:tc>
          <w:tcPr>
            <w:tcW w:w="851" w:type="dxa"/>
            <w:vMerge/>
          </w:tcPr>
          <w:p w14:paraId="3BB9F463" w14:textId="77777777" w:rsidR="004E7B3A" w:rsidRPr="00A251A5" w:rsidRDefault="004E7B3A" w:rsidP="00203000">
            <w:pPr>
              <w:rPr>
                <w:rFonts w:ascii="Times New Roman" w:hAnsi="Times New Roman" w:cs="Times New Roman"/>
              </w:rPr>
            </w:pPr>
          </w:p>
        </w:tc>
        <w:tc>
          <w:tcPr>
            <w:tcW w:w="1144" w:type="dxa"/>
            <w:tcBorders>
              <w:top w:val="single" w:sz="4" w:space="0" w:color="ADADAD" w:themeColor="background2" w:themeShade="BF"/>
              <w:bottom w:val="single" w:sz="4" w:space="0" w:color="ADADAD" w:themeColor="background2" w:themeShade="BF"/>
            </w:tcBorders>
          </w:tcPr>
          <w:p w14:paraId="67E14903"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June – July</w:t>
            </w:r>
          </w:p>
        </w:tc>
        <w:tc>
          <w:tcPr>
            <w:tcW w:w="1124" w:type="dxa"/>
            <w:tcBorders>
              <w:top w:val="single" w:sz="4" w:space="0" w:color="ADADAD" w:themeColor="background2" w:themeShade="BF"/>
              <w:bottom w:val="single" w:sz="4" w:space="0" w:color="ADADAD" w:themeColor="background2" w:themeShade="BF"/>
            </w:tcBorders>
          </w:tcPr>
          <w:p w14:paraId="48BAEA21"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Firth of Forth</w:t>
            </w:r>
          </w:p>
        </w:tc>
        <w:tc>
          <w:tcPr>
            <w:tcW w:w="3685" w:type="dxa"/>
            <w:tcBorders>
              <w:top w:val="single" w:sz="4" w:space="0" w:color="ADADAD" w:themeColor="background2" w:themeShade="BF"/>
              <w:bottom w:val="single" w:sz="4" w:space="0" w:color="ADADAD" w:themeColor="background2" w:themeShade="BF"/>
            </w:tcBorders>
          </w:tcPr>
          <w:p w14:paraId="45B4DF5C"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Jackson Rockhopper Trawl </w:t>
            </w:r>
          </w:p>
        </w:tc>
        <w:tc>
          <w:tcPr>
            <w:tcW w:w="2361" w:type="dxa"/>
            <w:tcBorders>
              <w:top w:val="single" w:sz="4" w:space="0" w:color="ADADAD" w:themeColor="background2" w:themeShade="BF"/>
              <w:bottom w:val="single" w:sz="4" w:space="0" w:color="ADADAD" w:themeColor="background2" w:themeShade="BF"/>
            </w:tcBorders>
          </w:tcPr>
          <w:p w14:paraId="46E9B16D"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10 mm mesh cod-end</w:t>
            </w:r>
          </w:p>
        </w:tc>
      </w:tr>
      <w:tr w:rsidR="004E7B3A" w:rsidRPr="00A251A5" w14:paraId="52092372" w14:textId="77777777" w:rsidTr="00203000">
        <w:trPr>
          <w:trHeight w:val="286"/>
          <w:jc w:val="center"/>
        </w:trPr>
        <w:tc>
          <w:tcPr>
            <w:tcW w:w="851" w:type="dxa"/>
            <w:vMerge/>
            <w:tcBorders>
              <w:bottom w:val="single" w:sz="4" w:space="0" w:color="ADADAD" w:themeColor="background2" w:themeShade="BF"/>
            </w:tcBorders>
          </w:tcPr>
          <w:p w14:paraId="0D003031" w14:textId="77777777" w:rsidR="004E7B3A" w:rsidRPr="00A251A5" w:rsidRDefault="004E7B3A" w:rsidP="00203000">
            <w:pPr>
              <w:rPr>
                <w:rFonts w:ascii="Times New Roman" w:hAnsi="Times New Roman" w:cs="Times New Roman"/>
              </w:rPr>
            </w:pPr>
          </w:p>
        </w:tc>
        <w:tc>
          <w:tcPr>
            <w:tcW w:w="1144" w:type="dxa"/>
            <w:tcBorders>
              <w:top w:val="single" w:sz="4" w:space="0" w:color="ADADAD" w:themeColor="background2" w:themeShade="BF"/>
              <w:bottom w:val="single" w:sz="4" w:space="0" w:color="ADADAD" w:themeColor="background2" w:themeShade="BF"/>
            </w:tcBorders>
          </w:tcPr>
          <w:p w14:paraId="5B45811F"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July - August</w:t>
            </w:r>
          </w:p>
        </w:tc>
        <w:tc>
          <w:tcPr>
            <w:tcW w:w="1124" w:type="dxa"/>
            <w:tcBorders>
              <w:top w:val="single" w:sz="4" w:space="0" w:color="ADADAD" w:themeColor="background2" w:themeShade="BF"/>
              <w:bottom w:val="single" w:sz="4" w:space="0" w:color="ADADAD" w:themeColor="background2" w:themeShade="BF"/>
            </w:tcBorders>
          </w:tcPr>
          <w:p w14:paraId="14775A61"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Firth of Forth</w:t>
            </w:r>
          </w:p>
        </w:tc>
        <w:tc>
          <w:tcPr>
            <w:tcW w:w="3685" w:type="dxa"/>
            <w:tcBorders>
              <w:top w:val="single" w:sz="4" w:space="0" w:color="ADADAD" w:themeColor="background2" w:themeShade="BF"/>
              <w:bottom w:val="single" w:sz="4" w:space="0" w:color="ADADAD" w:themeColor="background2" w:themeShade="BF"/>
            </w:tcBorders>
          </w:tcPr>
          <w:p w14:paraId="41D30618"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Fish trap</w:t>
            </w:r>
          </w:p>
        </w:tc>
        <w:tc>
          <w:tcPr>
            <w:tcW w:w="2361" w:type="dxa"/>
            <w:tcBorders>
              <w:top w:val="single" w:sz="4" w:space="0" w:color="ADADAD" w:themeColor="background2" w:themeShade="BF"/>
              <w:bottom w:val="single" w:sz="4" w:space="0" w:color="ADADAD" w:themeColor="background2" w:themeShade="BF"/>
            </w:tcBorders>
          </w:tcPr>
          <w:p w14:paraId="579D8BCD"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Mackerel bait</w:t>
            </w:r>
          </w:p>
        </w:tc>
      </w:tr>
      <w:tr w:rsidR="004E7B3A" w:rsidRPr="00A251A5" w14:paraId="4DD7C06F" w14:textId="77777777" w:rsidTr="00203000">
        <w:trPr>
          <w:trHeight w:val="88"/>
          <w:jc w:val="center"/>
        </w:trPr>
        <w:tc>
          <w:tcPr>
            <w:tcW w:w="851" w:type="dxa"/>
            <w:tcBorders>
              <w:top w:val="single" w:sz="4" w:space="0" w:color="ADADAD" w:themeColor="background2" w:themeShade="BF"/>
              <w:bottom w:val="single" w:sz="4" w:space="0" w:color="auto"/>
            </w:tcBorders>
          </w:tcPr>
          <w:p w14:paraId="43A19C70"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2024</w:t>
            </w:r>
          </w:p>
        </w:tc>
        <w:tc>
          <w:tcPr>
            <w:tcW w:w="1144" w:type="dxa"/>
            <w:tcBorders>
              <w:top w:val="single" w:sz="4" w:space="0" w:color="ADADAD" w:themeColor="background2" w:themeShade="BF"/>
              <w:bottom w:val="single" w:sz="4" w:space="0" w:color="auto"/>
            </w:tcBorders>
          </w:tcPr>
          <w:p w14:paraId="29FB4E3A"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June - July</w:t>
            </w:r>
          </w:p>
        </w:tc>
        <w:tc>
          <w:tcPr>
            <w:tcW w:w="1124" w:type="dxa"/>
            <w:tcBorders>
              <w:top w:val="single" w:sz="4" w:space="0" w:color="ADADAD" w:themeColor="background2" w:themeShade="BF"/>
              <w:bottom w:val="single" w:sz="4" w:space="0" w:color="auto"/>
            </w:tcBorders>
          </w:tcPr>
          <w:p w14:paraId="28F4E33C"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Firth of Forth</w:t>
            </w:r>
          </w:p>
        </w:tc>
        <w:tc>
          <w:tcPr>
            <w:tcW w:w="3685" w:type="dxa"/>
            <w:tcBorders>
              <w:top w:val="single" w:sz="4" w:space="0" w:color="ADADAD" w:themeColor="background2" w:themeShade="BF"/>
              <w:bottom w:val="single" w:sz="4" w:space="0" w:color="auto"/>
            </w:tcBorders>
          </w:tcPr>
          <w:p w14:paraId="55BE384E"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International Young Gadoid Trawl, Jackson Rockhopper Trawl </w:t>
            </w:r>
          </w:p>
        </w:tc>
        <w:tc>
          <w:tcPr>
            <w:tcW w:w="2361" w:type="dxa"/>
            <w:tcBorders>
              <w:top w:val="single" w:sz="4" w:space="0" w:color="ADADAD" w:themeColor="background2" w:themeShade="BF"/>
              <w:bottom w:val="single" w:sz="4" w:space="0" w:color="auto"/>
            </w:tcBorders>
          </w:tcPr>
          <w:p w14:paraId="7D82FB6C" w14:textId="77777777" w:rsidR="004E7B3A" w:rsidRPr="00A251A5" w:rsidRDefault="004E7B3A" w:rsidP="00203000">
            <w:pPr>
              <w:rPr>
                <w:rFonts w:ascii="Times New Roman" w:hAnsi="Times New Roman" w:cs="Times New Roman"/>
              </w:rPr>
            </w:pPr>
            <w:r w:rsidRPr="00A251A5">
              <w:rPr>
                <w:rFonts w:ascii="Times New Roman" w:hAnsi="Times New Roman" w:cs="Times New Roman"/>
              </w:rPr>
              <w:t xml:space="preserve">6 mm mesh cod-end, </w:t>
            </w:r>
          </w:p>
          <w:p w14:paraId="24F45E70" w14:textId="77777777" w:rsidR="004E7B3A" w:rsidRPr="00A251A5" w:rsidRDefault="004E7B3A" w:rsidP="00203000">
            <w:pPr>
              <w:rPr>
                <w:rFonts w:ascii="Times New Roman" w:hAnsi="Times New Roman" w:cs="Times New Roman"/>
                <w:highlight w:val="yellow"/>
              </w:rPr>
            </w:pPr>
            <w:r w:rsidRPr="00A251A5">
              <w:rPr>
                <w:rFonts w:ascii="Times New Roman" w:hAnsi="Times New Roman" w:cs="Times New Roman"/>
              </w:rPr>
              <w:t>10 mm mesh cod-end</w:t>
            </w:r>
          </w:p>
        </w:tc>
      </w:tr>
    </w:tbl>
    <w:p w14:paraId="68FE42AE" w14:textId="77777777" w:rsidR="004E7B3A" w:rsidRPr="00A251A5" w:rsidRDefault="004E7B3A" w:rsidP="004E7B3A">
      <w:pPr>
        <w:pStyle w:val="Caption"/>
        <w:rPr>
          <w:rFonts w:ascii="Times New Roman" w:hAnsi="Times New Roman" w:cs="Times New Roman"/>
        </w:rPr>
      </w:pPr>
    </w:p>
    <w:p w14:paraId="7D50FDAD" w14:textId="77777777" w:rsidR="004E7B3A" w:rsidRPr="00A251A5" w:rsidRDefault="004E7B3A" w:rsidP="004E7B3A">
      <w:pPr>
        <w:keepNext/>
        <w:jc w:val="center"/>
        <w:rPr>
          <w:rFonts w:ascii="Times New Roman" w:hAnsi="Times New Roman" w:cs="Times New Roman"/>
        </w:rPr>
      </w:pPr>
      <w:r w:rsidRPr="00A251A5">
        <w:rPr>
          <w:rFonts w:ascii="Times New Roman" w:hAnsi="Times New Roman" w:cs="Times New Roman"/>
          <w:noProof/>
        </w:rPr>
        <w:drawing>
          <wp:inline distT="0" distB="0" distL="0" distR="0" wp14:anchorId="3CB2B71B" wp14:editId="2F276D03">
            <wp:extent cx="3776472" cy="2743200"/>
            <wp:effectExtent l="0" t="0" r="0" b="0"/>
            <wp:docPr id="388750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50541" name="Picture 38875054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76472" cy="2743200"/>
                    </a:xfrm>
                    <a:prstGeom prst="rect">
                      <a:avLst/>
                    </a:prstGeom>
                  </pic:spPr>
                </pic:pic>
              </a:graphicData>
            </a:graphic>
          </wp:inline>
        </w:drawing>
      </w:r>
    </w:p>
    <w:p w14:paraId="2720C857" w14:textId="58FF5336" w:rsidR="004E7B3A" w:rsidRPr="00A251A5" w:rsidRDefault="00F06CFC" w:rsidP="004E7B3A">
      <w:pPr>
        <w:pStyle w:val="Caption"/>
        <w:spacing w:line="480" w:lineRule="auto"/>
        <w:rPr>
          <w:rFonts w:ascii="Times New Roman" w:hAnsi="Times New Roman" w:cs="Times New Roman"/>
        </w:rPr>
      </w:pPr>
      <w:r>
        <w:rPr>
          <w:rFonts w:ascii="Times New Roman" w:hAnsi="Times New Roman" w:cs="Times New Roman"/>
          <w:i w:val="0"/>
          <w:iCs w:val="0"/>
          <w:color w:val="auto"/>
          <w:sz w:val="24"/>
          <w:szCs w:val="24"/>
        </w:rPr>
        <w:t xml:space="preserve">Supplementary </w:t>
      </w:r>
      <w:r w:rsidR="004E7B3A" w:rsidRPr="00A251A5">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t>S</w:t>
      </w:r>
      <w:r w:rsidR="004E7B3A" w:rsidRPr="00A251A5">
        <w:rPr>
          <w:rFonts w:ascii="Times New Roman" w:hAnsi="Times New Roman" w:cs="Times New Roman"/>
          <w:i w:val="0"/>
          <w:iCs w:val="0"/>
          <w:color w:val="auto"/>
          <w:sz w:val="24"/>
          <w:szCs w:val="24"/>
        </w:rPr>
        <w:t>1 Energy density (kJ g</w:t>
      </w:r>
      <w:r w:rsidR="004E7B3A" w:rsidRPr="00A251A5">
        <w:rPr>
          <w:rFonts w:ascii="Times New Roman" w:hAnsi="Times New Roman" w:cs="Times New Roman"/>
          <w:i w:val="0"/>
          <w:iCs w:val="0"/>
          <w:color w:val="auto"/>
          <w:sz w:val="24"/>
          <w:szCs w:val="24"/>
          <w:vertAlign w:val="superscript"/>
        </w:rPr>
        <w:t>-1</w:t>
      </w:r>
      <w:r w:rsidR="004E7B3A" w:rsidRPr="00A251A5">
        <w:rPr>
          <w:rFonts w:ascii="Times New Roman" w:hAnsi="Times New Roman" w:cs="Times New Roman"/>
          <w:i w:val="0"/>
          <w:iCs w:val="0"/>
          <w:color w:val="auto"/>
          <w:sz w:val="24"/>
          <w:szCs w:val="24"/>
        </w:rPr>
        <w:t xml:space="preserve">) values against total length (cm) of herring </w:t>
      </w:r>
      <w:r w:rsidR="004E7B3A" w:rsidRPr="00A251A5">
        <w:rPr>
          <w:rFonts w:ascii="Times New Roman" w:hAnsi="Times New Roman" w:cs="Times New Roman"/>
          <w:color w:val="000000" w:themeColor="text1"/>
          <w:sz w:val="24"/>
          <w:szCs w:val="24"/>
        </w:rPr>
        <w:t>Clupea harengus</w:t>
      </w:r>
      <w:r w:rsidR="004E7B3A" w:rsidRPr="00A251A5">
        <w:rPr>
          <w:rFonts w:ascii="Times New Roman" w:hAnsi="Times New Roman" w:cs="Times New Roman"/>
          <w:i w:val="0"/>
          <w:iCs w:val="0"/>
          <w:color w:val="auto"/>
          <w:sz w:val="24"/>
          <w:szCs w:val="24"/>
        </w:rPr>
        <w:t xml:space="preserve">. Blue points are mean energy density from Booth et al. (2023) using Pedersen and Hislop (2001) data and the curve and shaded confidence intervals are from a </w:t>
      </w:r>
      <w:r w:rsidR="004E7B3A" w:rsidRPr="00A251A5">
        <w:rPr>
          <w:rFonts w:ascii="Times New Roman" w:hAnsi="Times New Roman" w:cs="Times New Roman"/>
          <w:i w:val="0"/>
          <w:iCs w:val="0"/>
          <w:color w:val="auto"/>
          <w:sz w:val="24"/>
          <w:szCs w:val="24"/>
        </w:rPr>
        <w:lastRenderedPageBreak/>
        <w:t>logistic model fitted to those data in Booth et al. (2023). Orange points are measured mean energy density values for individual fish generated from bomb calorimetry, each point represents the mean energy density of a specimen as calculated from 2-3 processed pellets.</w:t>
      </w:r>
      <w:r w:rsidR="004E7B3A" w:rsidRPr="00A251A5">
        <w:rPr>
          <w:rFonts w:ascii="Times New Roman" w:hAnsi="Times New Roman" w:cs="Times New Roman"/>
          <w:noProof/>
        </w:rPr>
        <w:drawing>
          <wp:inline distT="0" distB="0" distL="0" distR="0" wp14:anchorId="168DDCA4" wp14:editId="5B563D2B">
            <wp:extent cx="5731510" cy="4746625"/>
            <wp:effectExtent l="0" t="0" r="2540" b="0"/>
            <wp:docPr id="1331330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30178" name="Picture 13313301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746625"/>
                    </a:xfrm>
                    <a:prstGeom prst="rect">
                      <a:avLst/>
                    </a:prstGeom>
                  </pic:spPr>
                </pic:pic>
              </a:graphicData>
            </a:graphic>
          </wp:inline>
        </w:drawing>
      </w:r>
    </w:p>
    <w:p w14:paraId="2FB27A10" w14:textId="1B2CD721" w:rsidR="004E7B3A" w:rsidRPr="00A251A5" w:rsidRDefault="00F06CFC" w:rsidP="004E7B3A">
      <w:pPr>
        <w:pStyle w:val="Caption"/>
        <w:spacing w:line="480" w:lineRule="auto"/>
        <w:rPr>
          <w:rFonts w:ascii="Times New Roman" w:hAnsi="Times New Roman" w:cs="Times New Roman"/>
          <w:i w:val="0"/>
          <w:iCs w:val="0"/>
          <w:color w:val="000000" w:themeColor="text1"/>
          <w:sz w:val="24"/>
          <w:szCs w:val="24"/>
        </w:rPr>
      </w:pPr>
      <w:r>
        <w:rPr>
          <w:rFonts w:ascii="Times New Roman" w:hAnsi="Times New Roman" w:cs="Times New Roman"/>
          <w:i w:val="0"/>
          <w:iCs w:val="0"/>
          <w:color w:val="auto"/>
          <w:sz w:val="24"/>
          <w:szCs w:val="24"/>
        </w:rPr>
        <w:t>Supplementary</w:t>
      </w:r>
      <w:r w:rsidRPr="00A251A5">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Figur</w:t>
      </w:r>
      <w:r w:rsidR="004E7B3A" w:rsidRPr="00A251A5">
        <w:rPr>
          <w:rFonts w:ascii="Times New Roman" w:hAnsi="Times New Roman" w:cs="Times New Roman"/>
          <w:i w:val="0"/>
          <w:iCs w:val="0"/>
          <w:color w:val="000000" w:themeColor="text1"/>
          <w:sz w:val="24"/>
          <w:szCs w:val="24"/>
        </w:rPr>
        <w:t xml:space="preserve">e </w:t>
      </w:r>
      <w:r>
        <w:rPr>
          <w:rFonts w:ascii="Times New Roman" w:hAnsi="Times New Roman" w:cs="Times New Roman"/>
          <w:i w:val="0"/>
          <w:iCs w:val="0"/>
          <w:color w:val="000000" w:themeColor="text1"/>
          <w:sz w:val="24"/>
          <w:szCs w:val="24"/>
        </w:rPr>
        <w:t>S</w:t>
      </w:r>
      <w:r w:rsidR="004E7B3A" w:rsidRPr="00A251A5">
        <w:rPr>
          <w:rFonts w:ascii="Times New Roman" w:hAnsi="Times New Roman" w:cs="Times New Roman"/>
          <w:i w:val="0"/>
          <w:iCs w:val="0"/>
          <w:color w:val="000000" w:themeColor="text1"/>
          <w:sz w:val="24"/>
          <w:szCs w:val="24"/>
        </w:rPr>
        <w:t>2 The energy density (kJ g-</w:t>
      </w:r>
      <w:r w:rsidR="004E7B3A" w:rsidRPr="00A251A5">
        <w:rPr>
          <w:rFonts w:ascii="Times New Roman" w:hAnsi="Times New Roman" w:cs="Times New Roman"/>
          <w:i w:val="0"/>
          <w:iCs w:val="0"/>
          <w:color w:val="000000" w:themeColor="text1"/>
          <w:sz w:val="24"/>
          <w:szCs w:val="24"/>
          <w:vertAlign w:val="superscript"/>
        </w:rPr>
        <w:t>1</w:t>
      </w:r>
      <w:r w:rsidR="004E7B3A" w:rsidRPr="00A251A5">
        <w:rPr>
          <w:rFonts w:ascii="Times New Roman" w:hAnsi="Times New Roman" w:cs="Times New Roman"/>
          <w:i w:val="0"/>
          <w:iCs w:val="0"/>
          <w:color w:val="000000" w:themeColor="text1"/>
          <w:sz w:val="24"/>
          <w:szCs w:val="24"/>
        </w:rPr>
        <w:t xml:space="preserve">) for species where there were at least 5 specimens with comparable sizes rages across multiple years to explore inter-annual variation (7 out of the 36 species processed).        </w:t>
      </w:r>
    </w:p>
    <w:p w14:paraId="6D018416" w14:textId="77777777" w:rsidR="004E7B3A" w:rsidRPr="00CE4CA0" w:rsidRDefault="004E7B3A" w:rsidP="004E7B3A">
      <w:pPr>
        <w:keepNext/>
        <w:keepLines/>
        <w:spacing w:after="0" w:line="360" w:lineRule="auto"/>
        <w:rPr>
          <w:rFonts w:ascii="Times New Roman" w:hAnsi="Times New Roman" w:cs="Times New Roman"/>
          <w:color w:val="000000" w:themeColor="text1"/>
          <w:sz w:val="24"/>
          <w:szCs w:val="24"/>
        </w:rPr>
      </w:pPr>
      <w:r w:rsidRPr="00CE4CA0">
        <w:rPr>
          <w:rFonts w:ascii="Times New Roman" w:hAnsi="Times New Roman" w:cs="Times New Roman"/>
          <w:color w:val="000000" w:themeColor="text1"/>
          <w:sz w:val="24"/>
          <w:szCs w:val="24"/>
        </w:rPr>
        <w:t xml:space="preserve">References </w:t>
      </w:r>
    </w:p>
    <w:p w14:paraId="6E353CBF" w14:textId="77777777" w:rsidR="004E7B3A" w:rsidRPr="00CE4CA0" w:rsidRDefault="004E7B3A" w:rsidP="004E7B3A">
      <w:pPr>
        <w:keepNext/>
        <w:keepLines/>
        <w:spacing w:line="360" w:lineRule="auto"/>
        <w:ind w:left="720" w:hanging="720"/>
        <w:rPr>
          <w:rFonts w:ascii="Times New Roman" w:hAnsi="Times New Roman" w:cs="Times New Roman"/>
          <w:sz w:val="24"/>
          <w:szCs w:val="24"/>
        </w:rPr>
      </w:pPr>
      <w:r w:rsidRPr="00CE4CA0">
        <w:rPr>
          <w:rFonts w:ascii="Times New Roman" w:hAnsi="Times New Roman" w:cs="Times New Roman"/>
          <w:sz w:val="24"/>
          <w:szCs w:val="24"/>
        </w:rPr>
        <w:t xml:space="preserve">Booth CG, </w:t>
      </w:r>
      <w:proofErr w:type="spellStart"/>
      <w:r w:rsidRPr="00CE4CA0">
        <w:rPr>
          <w:rFonts w:ascii="Times New Roman" w:hAnsi="Times New Roman" w:cs="Times New Roman"/>
          <w:sz w:val="24"/>
          <w:szCs w:val="24"/>
        </w:rPr>
        <w:t>Guilpin</w:t>
      </w:r>
      <w:proofErr w:type="spellEnd"/>
      <w:r w:rsidRPr="00CE4CA0">
        <w:rPr>
          <w:rFonts w:ascii="Times New Roman" w:hAnsi="Times New Roman" w:cs="Times New Roman"/>
          <w:sz w:val="24"/>
          <w:szCs w:val="24"/>
        </w:rPr>
        <w:t xml:space="preserve"> M, Darias-O’Hara A-K, Ransijn JM, Ryder M, Rosen D, Pirotta E, Smout S, </w:t>
      </w:r>
      <w:proofErr w:type="spellStart"/>
      <w:r w:rsidRPr="00CE4CA0">
        <w:rPr>
          <w:rFonts w:ascii="Times New Roman" w:hAnsi="Times New Roman" w:cs="Times New Roman"/>
          <w:sz w:val="24"/>
          <w:szCs w:val="24"/>
        </w:rPr>
        <w:t>McHuron</w:t>
      </w:r>
      <w:proofErr w:type="spellEnd"/>
      <w:r w:rsidRPr="00CE4CA0">
        <w:rPr>
          <w:rFonts w:ascii="Times New Roman" w:hAnsi="Times New Roman" w:cs="Times New Roman"/>
          <w:sz w:val="24"/>
          <w:szCs w:val="24"/>
        </w:rPr>
        <w:t xml:space="preserve"> EA, Nabe-Nielsen J, Costa DP (2023) Estimating energetic intake for marine mammal bioenergetic models. Conservation Physiology 11.</w:t>
      </w:r>
    </w:p>
    <w:p w14:paraId="17B6DD14" w14:textId="39AF5F4B" w:rsidR="00FB7C2F" w:rsidRPr="004E7B3A" w:rsidRDefault="004E7B3A" w:rsidP="004E7B3A">
      <w:pPr>
        <w:pStyle w:val="Bibliography"/>
        <w:spacing w:line="360" w:lineRule="auto"/>
        <w:rPr>
          <w:rFonts w:ascii="Times New Roman" w:hAnsi="Times New Roman" w:cs="Times New Roman"/>
          <w:color w:val="000000" w:themeColor="text1"/>
        </w:rPr>
      </w:pPr>
      <w:r w:rsidRPr="00CE4CA0">
        <w:rPr>
          <w:rFonts w:ascii="Times New Roman" w:hAnsi="Times New Roman" w:cs="Times New Roman"/>
          <w:sz w:val="24"/>
          <w:szCs w:val="24"/>
        </w:rPr>
        <w:t>Pedersen J, Hislop JRG (2001) Seasonal variations in the energy density of fishes in the North Sea. Journal of Fish Biology 59:380–389.</w:t>
      </w:r>
    </w:p>
    <w:sectPr w:rsidR="00FB7C2F" w:rsidRPr="004E7B3A" w:rsidSect="004E7B3A">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3A"/>
    <w:rsid w:val="001148C0"/>
    <w:rsid w:val="0043386E"/>
    <w:rsid w:val="004E7B3A"/>
    <w:rsid w:val="009705ED"/>
    <w:rsid w:val="009A5C96"/>
    <w:rsid w:val="00E74B81"/>
    <w:rsid w:val="00F06CFC"/>
    <w:rsid w:val="00FB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0620"/>
  <w15:chartTrackingRefBased/>
  <w15:docId w15:val="{50980CED-CA4A-4953-8172-F281470D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B3A"/>
    <w:pPr>
      <w:spacing w:line="259" w:lineRule="auto"/>
    </w:pPr>
    <w:rPr>
      <w:sz w:val="22"/>
      <w:szCs w:val="22"/>
    </w:rPr>
  </w:style>
  <w:style w:type="paragraph" w:styleId="Heading1">
    <w:name w:val="heading 1"/>
    <w:basedOn w:val="Normal"/>
    <w:next w:val="Normal"/>
    <w:link w:val="Heading1Char"/>
    <w:uiPriority w:val="9"/>
    <w:qFormat/>
    <w:rsid w:val="004E7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B3A"/>
    <w:rPr>
      <w:rFonts w:eastAsiaTheme="majorEastAsia" w:cstheme="majorBidi"/>
      <w:color w:val="272727" w:themeColor="text1" w:themeTint="D8"/>
    </w:rPr>
  </w:style>
  <w:style w:type="paragraph" w:styleId="Title">
    <w:name w:val="Title"/>
    <w:basedOn w:val="Normal"/>
    <w:next w:val="Normal"/>
    <w:link w:val="TitleChar"/>
    <w:uiPriority w:val="10"/>
    <w:qFormat/>
    <w:rsid w:val="004E7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B3A"/>
    <w:pPr>
      <w:spacing w:before="160"/>
      <w:jc w:val="center"/>
    </w:pPr>
    <w:rPr>
      <w:i/>
      <w:iCs/>
      <w:color w:val="404040" w:themeColor="text1" w:themeTint="BF"/>
    </w:rPr>
  </w:style>
  <w:style w:type="character" w:customStyle="1" w:styleId="QuoteChar">
    <w:name w:val="Quote Char"/>
    <w:basedOn w:val="DefaultParagraphFont"/>
    <w:link w:val="Quote"/>
    <w:uiPriority w:val="29"/>
    <w:rsid w:val="004E7B3A"/>
    <w:rPr>
      <w:i/>
      <w:iCs/>
      <w:color w:val="404040" w:themeColor="text1" w:themeTint="BF"/>
    </w:rPr>
  </w:style>
  <w:style w:type="paragraph" w:styleId="ListParagraph">
    <w:name w:val="List Paragraph"/>
    <w:basedOn w:val="Normal"/>
    <w:uiPriority w:val="34"/>
    <w:qFormat/>
    <w:rsid w:val="004E7B3A"/>
    <w:pPr>
      <w:ind w:left="720"/>
      <w:contextualSpacing/>
    </w:pPr>
  </w:style>
  <w:style w:type="character" w:styleId="IntenseEmphasis">
    <w:name w:val="Intense Emphasis"/>
    <w:basedOn w:val="DefaultParagraphFont"/>
    <w:uiPriority w:val="21"/>
    <w:qFormat/>
    <w:rsid w:val="004E7B3A"/>
    <w:rPr>
      <w:i/>
      <w:iCs/>
      <w:color w:val="0F4761" w:themeColor="accent1" w:themeShade="BF"/>
    </w:rPr>
  </w:style>
  <w:style w:type="paragraph" w:styleId="IntenseQuote">
    <w:name w:val="Intense Quote"/>
    <w:basedOn w:val="Normal"/>
    <w:next w:val="Normal"/>
    <w:link w:val="IntenseQuoteChar"/>
    <w:uiPriority w:val="30"/>
    <w:qFormat/>
    <w:rsid w:val="004E7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B3A"/>
    <w:rPr>
      <w:i/>
      <w:iCs/>
      <w:color w:val="0F4761" w:themeColor="accent1" w:themeShade="BF"/>
    </w:rPr>
  </w:style>
  <w:style w:type="character" w:styleId="IntenseReference">
    <w:name w:val="Intense Reference"/>
    <w:basedOn w:val="DefaultParagraphFont"/>
    <w:uiPriority w:val="32"/>
    <w:qFormat/>
    <w:rsid w:val="004E7B3A"/>
    <w:rPr>
      <w:b/>
      <w:bCs/>
      <w:smallCaps/>
      <w:color w:val="0F4761" w:themeColor="accent1" w:themeShade="BF"/>
      <w:spacing w:val="5"/>
    </w:rPr>
  </w:style>
  <w:style w:type="paragraph" w:styleId="Caption">
    <w:name w:val="caption"/>
    <w:basedOn w:val="Normal"/>
    <w:next w:val="Normal"/>
    <w:uiPriority w:val="35"/>
    <w:unhideWhenUsed/>
    <w:qFormat/>
    <w:rsid w:val="004E7B3A"/>
    <w:pPr>
      <w:spacing w:after="200" w:line="240" w:lineRule="auto"/>
    </w:pPr>
    <w:rPr>
      <w:i/>
      <w:iCs/>
      <w:color w:val="0E2841" w:themeColor="text2"/>
      <w:sz w:val="18"/>
      <w:szCs w:val="18"/>
    </w:rPr>
  </w:style>
  <w:style w:type="table" w:styleId="TableGrid">
    <w:name w:val="Table Grid"/>
    <w:basedOn w:val="TableNormal"/>
    <w:uiPriority w:val="39"/>
    <w:rsid w:val="004E7B3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E7B3A"/>
    <w:pPr>
      <w:tabs>
        <w:tab w:val="left" w:pos="384"/>
      </w:tabs>
      <w:spacing w:after="0" w:line="480" w:lineRule="auto"/>
      <w:ind w:left="384" w:hanging="384"/>
    </w:pPr>
  </w:style>
  <w:style w:type="character" w:styleId="LineNumber">
    <w:name w:val="line number"/>
    <w:basedOn w:val="DefaultParagraphFont"/>
    <w:uiPriority w:val="99"/>
    <w:semiHidden/>
    <w:unhideWhenUsed/>
    <w:rsid w:val="004E7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Wright</dc:creator>
  <cp:keywords/>
  <dc:description/>
  <cp:lastModifiedBy>Philippa Wright</cp:lastModifiedBy>
  <cp:revision>4</cp:revision>
  <dcterms:created xsi:type="dcterms:W3CDTF">2026-05-12T14:03:00Z</dcterms:created>
  <dcterms:modified xsi:type="dcterms:W3CDTF">2026-05-12T14:07:00Z</dcterms:modified>
</cp:coreProperties>
</file>