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C79AB" w14:textId="77777777" w:rsidR="00C74113" w:rsidRDefault="00000000">
      <w:pPr>
        <w:spacing w:after="120"/>
      </w:pPr>
      <w:r>
        <w:rPr>
          <w:rFonts w:ascii="Times New Roman" w:hAnsi="Times New Roman"/>
          <w:b/>
          <w:sz w:val="24"/>
        </w:rPr>
        <w:t>Table 2. Mann–Whitney U tests comparing maternal age between donors who did and did not report each motivation</w:t>
      </w:r>
    </w:p>
    <w:tbl>
      <w:tblPr>
        <w:tblW w:w="9977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621"/>
        <w:gridCol w:w="1417"/>
        <w:gridCol w:w="709"/>
        <w:gridCol w:w="1417"/>
        <w:gridCol w:w="851"/>
        <w:gridCol w:w="1134"/>
        <w:gridCol w:w="1276"/>
      </w:tblGrid>
      <w:tr w:rsidR="00C74113" w14:paraId="575501B5" w14:textId="77777777" w:rsidTr="000D4B8B">
        <w:trPr>
          <w:trHeight w:val="260"/>
          <w:tblHeader/>
        </w:trPr>
        <w:tc>
          <w:tcPr>
            <w:tcW w:w="2552" w:type="dxa"/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184411B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Motivation</w:t>
            </w:r>
          </w:p>
        </w:tc>
        <w:tc>
          <w:tcPr>
            <w:tcW w:w="2038" w:type="dxa"/>
            <w:gridSpan w:val="2"/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9C2742F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Reporting</w:t>
            </w:r>
          </w:p>
        </w:tc>
        <w:tc>
          <w:tcPr>
            <w:tcW w:w="2126" w:type="dxa"/>
            <w:gridSpan w:val="2"/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3F024EF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Not reporting</w:t>
            </w:r>
          </w:p>
        </w:tc>
        <w:tc>
          <w:tcPr>
            <w:tcW w:w="3261" w:type="dxa"/>
            <w:gridSpan w:val="3"/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EC5DA51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Mann–Whitney U test</w:t>
            </w:r>
          </w:p>
        </w:tc>
      </w:tr>
      <w:tr w:rsidR="00C74113" w14:paraId="1F282AE5" w14:textId="77777777" w:rsidTr="000D4B8B">
        <w:trPr>
          <w:trHeight w:val="260"/>
          <w:tblHeader/>
        </w:trPr>
        <w:tc>
          <w:tcPr>
            <w:tcW w:w="2552" w:type="dxa"/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32F6401" w14:textId="77777777" w:rsidR="00C74113" w:rsidRDefault="00C74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C1C5FBD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n</w:t>
            </w:r>
          </w:p>
        </w:tc>
        <w:tc>
          <w:tcPr>
            <w:tcW w:w="1417" w:type="dxa"/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91CCB8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Mean age (SD)</w:t>
            </w:r>
          </w:p>
        </w:tc>
        <w:tc>
          <w:tcPr>
            <w:tcW w:w="709" w:type="dxa"/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67A0CF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n</w:t>
            </w:r>
          </w:p>
        </w:tc>
        <w:tc>
          <w:tcPr>
            <w:tcW w:w="1417" w:type="dxa"/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91099B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Mean age (SD)</w:t>
            </w:r>
          </w:p>
        </w:tc>
        <w:tc>
          <w:tcPr>
            <w:tcW w:w="851" w:type="dxa"/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82A4212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W</w:t>
            </w:r>
          </w:p>
        </w:tc>
        <w:tc>
          <w:tcPr>
            <w:tcW w:w="1134" w:type="dxa"/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8358050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p</w:t>
            </w:r>
          </w:p>
        </w:tc>
        <w:tc>
          <w:tcPr>
            <w:tcW w:w="1276" w:type="dxa"/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883362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>r</w:t>
            </w:r>
          </w:p>
        </w:tc>
      </w:tr>
      <w:tr w:rsidR="00C74113" w14:paraId="68D3E600" w14:textId="77777777" w:rsidTr="000D4B8B">
        <w:trPr>
          <w:trHeight w:val="240"/>
        </w:trPr>
        <w:tc>
          <w:tcPr>
            <w:tcW w:w="9977" w:type="dxa"/>
            <w:gridSpan w:val="8"/>
            <w:shd w:val="clear" w:color="auto" w:fill="EDEDE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3024312" w14:textId="77777777" w:rsidR="00C7411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GB"/>
              </w:rPr>
              <w:t>Cultural milk diamond category</w:t>
            </w:r>
          </w:p>
        </w:tc>
      </w:tr>
      <w:tr w:rsidR="00C74113" w14:paraId="7A8DE7AD" w14:textId="77777777" w:rsidTr="000D4B8B">
        <w:trPr>
          <w:trHeight w:val="280"/>
        </w:trPr>
        <w:tc>
          <w:tcPr>
            <w:tcW w:w="2552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42B6D63" w14:textId="77777777" w:rsidR="00C74113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Producer (donor)-focused</w:t>
            </w:r>
          </w:p>
        </w:tc>
        <w:tc>
          <w:tcPr>
            <w:tcW w:w="621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1102B35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28</w:t>
            </w:r>
          </w:p>
        </w:tc>
        <w:tc>
          <w:tcPr>
            <w:tcW w:w="1417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4566B97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32.0 (4.25)</w:t>
            </w:r>
          </w:p>
        </w:tc>
        <w:tc>
          <w:tcPr>
            <w:tcW w:w="709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26A69CF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66</w:t>
            </w:r>
          </w:p>
        </w:tc>
        <w:tc>
          <w:tcPr>
            <w:tcW w:w="1417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769D789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31.9 (4.47)</w:t>
            </w:r>
          </w:p>
        </w:tc>
        <w:tc>
          <w:tcPr>
            <w:tcW w:w="851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27E5220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937.5</w:t>
            </w:r>
          </w:p>
        </w:tc>
        <w:tc>
          <w:tcPr>
            <w:tcW w:w="1134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32167AC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.914</w:t>
            </w:r>
          </w:p>
        </w:tc>
        <w:tc>
          <w:tcPr>
            <w:tcW w:w="1276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393075A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+0.02</w:t>
            </w:r>
          </w:p>
        </w:tc>
      </w:tr>
      <w:tr w:rsidR="00C74113" w14:paraId="1EFA22ED" w14:textId="77777777" w:rsidTr="000D4B8B">
        <w:trPr>
          <w:trHeight w:val="280"/>
        </w:trPr>
        <w:tc>
          <w:tcPr>
            <w:tcW w:w="2552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0FDCBD7" w14:textId="77777777" w:rsidR="00C74113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Consumer (receiver)-focused</w:t>
            </w:r>
          </w:p>
        </w:tc>
        <w:tc>
          <w:tcPr>
            <w:tcW w:w="621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81B17A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41</w:t>
            </w:r>
          </w:p>
        </w:tc>
        <w:tc>
          <w:tcPr>
            <w:tcW w:w="1417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825BE6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32.6 (4.71)</w:t>
            </w:r>
          </w:p>
        </w:tc>
        <w:tc>
          <w:tcPr>
            <w:tcW w:w="709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10C8ACE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53</w:t>
            </w:r>
          </w:p>
        </w:tc>
        <w:tc>
          <w:tcPr>
            <w:tcW w:w="1417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935CB3D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31.4 (4.08)</w:t>
            </w:r>
          </w:p>
        </w:tc>
        <w:tc>
          <w:tcPr>
            <w:tcW w:w="851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FC2CB29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954.5</w:t>
            </w:r>
          </w:p>
        </w:tc>
        <w:tc>
          <w:tcPr>
            <w:tcW w:w="1134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EF8C23A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.314</w:t>
            </w:r>
          </w:p>
        </w:tc>
        <w:tc>
          <w:tcPr>
            <w:tcW w:w="1276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8401F36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−0.12</w:t>
            </w:r>
          </w:p>
        </w:tc>
      </w:tr>
      <w:tr w:rsidR="00C74113" w14:paraId="727C6DD3" w14:textId="77777777" w:rsidTr="000D4B8B">
        <w:trPr>
          <w:trHeight w:val="280"/>
        </w:trPr>
        <w:tc>
          <w:tcPr>
            <w:tcW w:w="2552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1A9C6F" w14:textId="77777777" w:rsidR="00C74113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Object (milk)-focused</w:t>
            </w:r>
          </w:p>
        </w:tc>
        <w:tc>
          <w:tcPr>
            <w:tcW w:w="621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0F05353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66</w:t>
            </w:r>
          </w:p>
        </w:tc>
        <w:tc>
          <w:tcPr>
            <w:tcW w:w="1417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EB95A84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32.4 (4.38)</w:t>
            </w:r>
          </w:p>
        </w:tc>
        <w:tc>
          <w:tcPr>
            <w:tcW w:w="709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7D238BE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28</w:t>
            </w:r>
          </w:p>
        </w:tc>
        <w:tc>
          <w:tcPr>
            <w:tcW w:w="1417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6D7BE9B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30.9 (4.29)</w:t>
            </w:r>
          </w:p>
        </w:tc>
        <w:tc>
          <w:tcPr>
            <w:tcW w:w="851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B81FEA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755.0</w:t>
            </w:r>
          </w:p>
        </w:tc>
        <w:tc>
          <w:tcPr>
            <w:tcW w:w="1134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BAD4B85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.162</w:t>
            </w:r>
          </w:p>
        </w:tc>
        <w:tc>
          <w:tcPr>
            <w:tcW w:w="1276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36FC5D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−0.18</w:t>
            </w:r>
          </w:p>
        </w:tc>
      </w:tr>
      <w:tr w:rsidR="00C74113" w14:paraId="00DAF5EF" w14:textId="77777777" w:rsidTr="000D4B8B">
        <w:trPr>
          <w:trHeight w:val="280"/>
        </w:trPr>
        <w:tc>
          <w:tcPr>
            <w:tcW w:w="2552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8E2307" w14:textId="77777777" w:rsidR="00C74113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Social world (community)-focused</w:t>
            </w:r>
          </w:p>
        </w:tc>
        <w:tc>
          <w:tcPr>
            <w:tcW w:w="621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9E28242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22</w:t>
            </w:r>
          </w:p>
        </w:tc>
        <w:tc>
          <w:tcPr>
            <w:tcW w:w="1417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ABF916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30.5 (4.23)</w:t>
            </w:r>
          </w:p>
        </w:tc>
        <w:tc>
          <w:tcPr>
            <w:tcW w:w="709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D7FBC66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72</w:t>
            </w:r>
          </w:p>
        </w:tc>
        <w:tc>
          <w:tcPr>
            <w:tcW w:w="1417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86B7530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32.4 (4.37)</w:t>
            </w:r>
          </w:p>
        </w:tc>
        <w:tc>
          <w:tcPr>
            <w:tcW w:w="851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D7B8E14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974.0</w:t>
            </w:r>
          </w:p>
        </w:tc>
        <w:tc>
          <w:tcPr>
            <w:tcW w:w="1134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8064E5C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.104</w:t>
            </w:r>
          </w:p>
        </w:tc>
        <w:tc>
          <w:tcPr>
            <w:tcW w:w="1276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4F908FF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+0.23</w:t>
            </w:r>
          </w:p>
        </w:tc>
      </w:tr>
      <w:tr w:rsidR="00C74113" w14:paraId="4ADFA662" w14:textId="77777777" w:rsidTr="000D4B8B">
        <w:trPr>
          <w:trHeight w:val="240"/>
        </w:trPr>
        <w:tc>
          <w:tcPr>
            <w:tcW w:w="9977" w:type="dxa"/>
            <w:gridSpan w:val="8"/>
            <w:shd w:val="clear" w:color="auto" w:fill="EDEDED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B197663" w14:textId="77777777" w:rsidR="00C74113" w:rsidRDefault="0000000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GB"/>
              </w:rPr>
              <w:t>Individual code</w:t>
            </w:r>
          </w:p>
        </w:tc>
      </w:tr>
      <w:tr w:rsidR="00C74113" w14:paraId="476ED4EA" w14:textId="77777777" w:rsidTr="000D4B8B">
        <w:trPr>
          <w:trHeight w:val="280"/>
        </w:trPr>
        <w:tc>
          <w:tcPr>
            <w:tcW w:w="2552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0FECAB5" w14:textId="77777777" w:rsidR="00C74113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Milk surplus</w:t>
            </w:r>
          </w:p>
        </w:tc>
        <w:tc>
          <w:tcPr>
            <w:tcW w:w="621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9B331B5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48</w:t>
            </w:r>
          </w:p>
        </w:tc>
        <w:tc>
          <w:tcPr>
            <w:tcW w:w="1417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A86D02F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31.3 (3.67)</w:t>
            </w:r>
          </w:p>
        </w:tc>
        <w:tc>
          <w:tcPr>
            <w:tcW w:w="709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0ED81CE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32</w:t>
            </w:r>
          </w:p>
        </w:tc>
        <w:tc>
          <w:tcPr>
            <w:tcW w:w="1417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2997082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33.9 (5.19)</w:t>
            </w:r>
          </w:p>
        </w:tc>
        <w:tc>
          <w:tcPr>
            <w:tcW w:w="851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37E1FAA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982.5</w:t>
            </w:r>
          </w:p>
        </w:tc>
        <w:tc>
          <w:tcPr>
            <w:tcW w:w="1134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891A0EF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.035*</w:t>
            </w:r>
          </w:p>
        </w:tc>
        <w:tc>
          <w:tcPr>
            <w:tcW w:w="1276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D7EB69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+0.28</w:t>
            </w:r>
          </w:p>
        </w:tc>
      </w:tr>
      <w:tr w:rsidR="00C74113" w14:paraId="2FBDF487" w14:textId="77777777" w:rsidTr="000D4B8B">
        <w:trPr>
          <w:trHeight w:val="280"/>
        </w:trPr>
        <w:tc>
          <w:tcPr>
            <w:tcW w:w="2552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1EAF093" w14:textId="77777777" w:rsidR="00C74113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Willingness to help</w:t>
            </w:r>
          </w:p>
        </w:tc>
        <w:tc>
          <w:tcPr>
            <w:tcW w:w="621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D1BE988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40</w:t>
            </w:r>
          </w:p>
        </w:tc>
        <w:tc>
          <w:tcPr>
            <w:tcW w:w="1417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2DACDBE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32.6 (4.76)</w:t>
            </w:r>
          </w:p>
        </w:tc>
        <w:tc>
          <w:tcPr>
            <w:tcW w:w="709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F13B981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40</w:t>
            </w:r>
          </w:p>
        </w:tc>
        <w:tc>
          <w:tcPr>
            <w:tcW w:w="1417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2C06EA4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32.1 (4.26)</w:t>
            </w:r>
          </w:p>
        </w:tc>
        <w:tc>
          <w:tcPr>
            <w:tcW w:w="851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B616F2E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772.5</w:t>
            </w:r>
          </w:p>
        </w:tc>
        <w:tc>
          <w:tcPr>
            <w:tcW w:w="1134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3F31D3D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.794</w:t>
            </w:r>
          </w:p>
        </w:tc>
        <w:tc>
          <w:tcPr>
            <w:tcW w:w="1276" w:type="dxa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0B58BB8" w14:textId="77777777" w:rsidR="00C741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−0.03</w:t>
            </w:r>
          </w:p>
        </w:tc>
      </w:tr>
      <w:tr w:rsidR="00C74113" w14:paraId="1FF89B60" w14:textId="77777777" w:rsidTr="000D4B8B">
        <w:trPr>
          <w:trHeight w:val="200"/>
        </w:trPr>
        <w:tc>
          <w:tcPr>
            <w:tcW w:w="9977" w:type="dxa"/>
            <w:gridSpan w:val="8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55A9AFD" w14:textId="77777777" w:rsidR="00C74113" w:rsidRDefault="00000000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*p &lt; .05. Tests were conducted on n = 94 donors (one participant had missing age data). W is the Wilcoxon W statistic reported by JASP for the Mann–Whitney U test (equivalent to U computed with the “not reporting” group as reference). The effect-size estimate r is the rank-biserial correlation; a positive r indicates that donors reporting the motivation skewed younger than those not reporting it, and a negative r indicates the reverse. SD = standard deviation.</w:t>
            </w:r>
          </w:p>
        </w:tc>
      </w:tr>
    </w:tbl>
    <w:p w14:paraId="1F6D85F2" w14:textId="77777777" w:rsidR="00C44712" w:rsidRDefault="00C44712"/>
    <w:sectPr w:rsidR="00C44712" w:rsidSect="00034616">
      <w:pgSz w:w="12240" w:h="15840"/>
      <w:pgMar w:top="1134" w:right="850" w:bottom="1134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422732">
    <w:abstractNumId w:val="8"/>
  </w:num>
  <w:num w:numId="2" w16cid:durableId="1333022488">
    <w:abstractNumId w:val="6"/>
  </w:num>
  <w:num w:numId="3" w16cid:durableId="1461415877">
    <w:abstractNumId w:val="5"/>
  </w:num>
  <w:num w:numId="4" w16cid:durableId="1220482766">
    <w:abstractNumId w:val="4"/>
  </w:num>
  <w:num w:numId="5" w16cid:durableId="1408766243">
    <w:abstractNumId w:val="7"/>
  </w:num>
  <w:num w:numId="6" w16cid:durableId="508062256">
    <w:abstractNumId w:val="3"/>
  </w:num>
  <w:num w:numId="7" w16cid:durableId="1947926969">
    <w:abstractNumId w:val="2"/>
  </w:num>
  <w:num w:numId="8" w16cid:durableId="93326017">
    <w:abstractNumId w:val="1"/>
  </w:num>
  <w:num w:numId="9" w16cid:durableId="112127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C68"/>
    <w:rsid w:val="00034616"/>
    <w:rsid w:val="0006063C"/>
    <w:rsid w:val="000D4B8B"/>
    <w:rsid w:val="0015074B"/>
    <w:rsid w:val="0029639D"/>
    <w:rsid w:val="00326F90"/>
    <w:rsid w:val="00AA1D8D"/>
    <w:rsid w:val="00B35925"/>
    <w:rsid w:val="00B47730"/>
    <w:rsid w:val="00C44712"/>
    <w:rsid w:val="00C7411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880FB"/>
  <w14:defaultImageDpi w14:val="300"/>
  <w15:docId w15:val="{2B1CBCA2-C1A9-6A45-960A-9CF74A07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986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Reviewer</cp:lastModifiedBy>
  <cp:revision>2</cp:revision>
  <dcterms:created xsi:type="dcterms:W3CDTF">2026-05-22T14:52:00Z</dcterms:created>
  <dcterms:modified xsi:type="dcterms:W3CDTF">2026-05-22T14:52:00Z</dcterms:modified>
  <cp:category/>
</cp:coreProperties>
</file>