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92FE" w14:textId="77777777" w:rsidR="00C13E4C" w:rsidRPr="00E31E22" w:rsidRDefault="00C13E4C" w:rsidP="00E31E22">
      <w:pPr>
        <w:spacing w:line="480" w:lineRule="auto"/>
        <w:rPr>
          <w:rFonts w:ascii="Times New Roman" w:hAnsi="Times New Roman" w:cs="Times New Roman"/>
          <w:b/>
          <w:bCs/>
        </w:rPr>
      </w:pPr>
      <w:r w:rsidRPr="00E31E22">
        <w:rPr>
          <w:rFonts w:ascii="Times New Roman" w:hAnsi="Times New Roman" w:cs="Times New Roman"/>
          <w:b/>
          <w:bCs/>
        </w:rPr>
        <w:t xml:space="preserve">Supplementary information </w:t>
      </w:r>
    </w:p>
    <w:p w14:paraId="4C5D8BBC" w14:textId="5E94C7DB" w:rsidR="007A3576" w:rsidRDefault="007A3576" w:rsidP="007A3576">
      <w:pPr>
        <w:spacing w:line="480" w:lineRule="auto"/>
        <w:rPr>
          <w:rFonts w:ascii="Times New Roman" w:hAnsi="Times New Roman" w:cs="Times New Roman"/>
        </w:rPr>
      </w:pPr>
      <w:r w:rsidRPr="00E31E22">
        <w:rPr>
          <w:rFonts w:ascii="Times New Roman" w:hAnsi="Times New Roman" w:cs="Times New Roman"/>
          <w:b/>
          <w:bCs/>
        </w:rPr>
        <w:t xml:space="preserve">Table S1 </w:t>
      </w:r>
      <w:r w:rsidRPr="00E31E22">
        <w:rPr>
          <w:rFonts w:ascii="Times New Roman" w:hAnsi="Times New Roman" w:cs="Times New Roman"/>
        </w:rPr>
        <w:t>Full summary experimental hut result</w:t>
      </w:r>
      <w:r w:rsidR="0052683E" w:rsidRPr="00E31E22">
        <w:rPr>
          <w:rFonts w:ascii="Times New Roman" w:hAnsi="Times New Roman" w:cs="Times New Roman"/>
        </w:rPr>
        <w:t>s demonstrating the impact of pyrethroid-piperonyl butoxide nets and clothianidin-based indoor residual spraying, applied alone and in combination,</w:t>
      </w:r>
      <w:r w:rsidR="002A7049">
        <w:rPr>
          <w:rFonts w:ascii="Times New Roman" w:hAnsi="Times New Roman" w:cs="Times New Roman"/>
        </w:rPr>
        <w:t xml:space="preserve"> against wild,</w:t>
      </w:r>
      <w:r w:rsidR="0052683E" w:rsidRPr="00E31E22">
        <w:rPr>
          <w:rFonts w:ascii="Times New Roman" w:hAnsi="Times New Roman" w:cs="Times New Roman"/>
        </w:rPr>
        <w:t xml:space="preserve"> pyrethroid-resistant </w:t>
      </w:r>
      <w:r w:rsidR="0052683E" w:rsidRPr="00E31E22">
        <w:rPr>
          <w:rFonts w:ascii="Times New Roman" w:hAnsi="Times New Roman" w:cs="Times New Roman"/>
          <w:i/>
          <w:iCs/>
        </w:rPr>
        <w:t>Anopheles gambiae</w:t>
      </w:r>
      <w:r w:rsidR="0052683E" w:rsidRPr="00E31E22">
        <w:rPr>
          <w:rFonts w:ascii="Times New Roman" w:hAnsi="Times New Roman" w:cs="Times New Roman"/>
        </w:rPr>
        <w:t xml:space="preserve"> sensu lato in Covè, southern Benin. </w:t>
      </w:r>
      <w:r w:rsidR="00E31E22" w:rsidRPr="00E31E22">
        <w:rPr>
          <w:rFonts w:ascii="Times New Roman" w:hAnsi="Times New Roman" w:cs="Times New Roman"/>
          <w:i/>
          <w:iCs/>
        </w:rPr>
        <w:t>*For each trial, values in the same column sharing a superscript letter do not differ at the 5% level (i.e. p&gt;0.05) according to regression analysis.</w:t>
      </w:r>
    </w:p>
    <w:tbl>
      <w:tblPr>
        <w:tblStyle w:val="TableGrid"/>
        <w:tblW w:w="14318" w:type="dxa"/>
        <w:tblInd w:w="-28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1418"/>
        <w:gridCol w:w="709"/>
        <w:gridCol w:w="1417"/>
        <w:gridCol w:w="709"/>
        <w:gridCol w:w="1417"/>
        <w:gridCol w:w="1418"/>
        <w:gridCol w:w="709"/>
        <w:gridCol w:w="1417"/>
        <w:gridCol w:w="1418"/>
      </w:tblGrid>
      <w:tr w:rsidR="00E31E22" w:rsidRPr="00650211" w14:paraId="5B2043FF" w14:textId="1BA2FC1A" w:rsidTr="00650211">
        <w:trPr>
          <w:trHeight w:val="902"/>
        </w:trPr>
        <w:tc>
          <w:tcPr>
            <w:tcW w:w="2836" w:type="dxa"/>
            <w:tcBorders>
              <w:right w:val="nil"/>
            </w:tcBorders>
            <w:vAlign w:val="center"/>
          </w:tcPr>
          <w:p w14:paraId="598BAFD3" w14:textId="761167F9" w:rsidR="00E31E22" w:rsidRPr="00650211" w:rsidRDefault="00AA77AC" w:rsidP="006502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Experimental hut treatment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EE509C4" w14:textId="3141D598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collected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9D29B7D" w14:textId="77777777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Deterrence</w:t>
            </w:r>
          </w:p>
          <w:p w14:paraId="13B4956C" w14:textId="1E556BB9" w:rsidR="00AA77AC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1D51552" w14:textId="0D3EE4CF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exiting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ED855F3" w14:textId="77777777" w:rsidR="00AA77AC" w:rsidRPr="00650211" w:rsidRDefault="00AA77AC" w:rsidP="00AA77A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Exophily </w:t>
            </w:r>
          </w:p>
          <w:p w14:paraId="369FB066" w14:textId="6C661DEC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CIs]*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73F0914" w14:textId="3FC3AFB1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blood-fed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329CAEF" w14:textId="77777777" w:rsidR="00AA77AC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Blood-feeding*</w:t>
            </w:r>
          </w:p>
          <w:p w14:paraId="384C1DCE" w14:textId="755ADB82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023C9F2" w14:textId="77777777" w:rsidR="00AA77AC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Blood-feeding inhibition*</w:t>
            </w:r>
          </w:p>
          <w:p w14:paraId="7653215A" w14:textId="680705FA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8C1CF22" w14:textId="362A06E9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79BD665" w14:textId="77777777" w:rsid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</w:t>
            </w:r>
          </w:p>
          <w:p w14:paraId="3D097A0D" w14:textId="712A8777" w:rsidR="00AA77AC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120 h*          </w:t>
            </w:r>
          </w:p>
          <w:p w14:paraId="78512FDE" w14:textId="12E02C20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9764EB3" w14:textId="77777777" w:rsidR="00E31E22" w:rsidRPr="00650211" w:rsidRDefault="00AA77AC" w:rsidP="00AA77A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Overall killing effect</w:t>
            </w:r>
          </w:p>
          <w:p w14:paraId="56AE2080" w14:textId="004083AD" w:rsidR="00AA77AC" w:rsidRPr="00650211" w:rsidRDefault="00AA77AC" w:rsidP="00AA7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[95% CIs]</w:t>
            </w:r>
          </w:p>
        </w:tc>
      </w:tr>
      <w:tr w:rsidR="00AA77AC" w:rsidRPr="00650211" w14:paraId="3A100588" w14:textId="7121AB09" w:rsidTr="00650211">
        <w:trPr>
          <w:trHeight w:val="283"/>
        </w:trPr>
        <w:tc>
          <w:tcPr>
            <w:tcW w:w="14318" w:type="dxa"/>
            <w:gridSpan w:val="11"/>
            <w:vAlign w:val="center"/>
          </w:tcPr>
          <w:p w14:paraId="33AB5E9F" w14:textId="0CF3E744" w:rsidR="00AA77AC" w:rsidRPr="00650211" w:rsidRDefault="00AA77AC" w:rsidP="00AA77A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Trial 1</w:t>
            </w:r>
          </w:p>
        </w:tc>
      </w:tr>
      <w:tr w:rsidR="00650211" w:rsidRPr="00650211" w14:paraId="76C79D2E" w14:textId="5059D865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13B0FB2A" w14:textId="47D0617E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hut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7A03C0C" w14:textId="2942F26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1607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92C5E45" w14:textId="4AB9CC2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629429A" w14:textId="54DAC4B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7ECD701" w14:textId="67BAAA8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 xml:space="preserve"> [44.7, 49.5]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00F8A8" w14:textId="000CD01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450472E" w14:textId="0698B61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98.7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 xml:space="preserve"> [98.1, 99.3]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2C7F7C5" w14:textId="2B8E43C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333B15F" w14:textId="39AB2AA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AEB350D" w14:textId="76904DD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1.1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[0.6, 1.6]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1CF8458" w14:textId="19061C2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–</w:t>
            </w:r>
          </w:p>
        </w:tc>
      </w:tr>
      <w:tr w:rsidR="00650211" w:rsidRPr="00650211" w14:paraId="51AF6D21" w14:textId="3114DBCB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62E5D602" w14:textId="4275F739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net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65004F0" w14:textId="085A5E3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1327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6DA287A" w14:textId="7F2CE06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 [10.8, 24.0]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A4FC07D" w14:textId="77A97D5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0985207" w14:textId="3C3AA68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43.0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[40.3, 45.7]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E8FAF7C" w14:textId="0BCA41D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94BF2D3" w14:textId="694C86A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81.6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[79.5, 83.7]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92B452B" w14:textId="37D5D12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[14.1, 20.5]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7BA0B5F" w14:textId="1A72B3C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652F694" w14:textId="3D668D5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1.3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[0.7, 1.9]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840BA97" w14:textId="22490C1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 [-0.7, 0.7]</w:t>
            </w:r>
          </w:p>
        </w:tc>
      </w:tr>
      <w:tr w:rsidR="00650211" w:rsidRPr="00650211" w14:paraId="4BC77D1C" w14:textId="3642DD0B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51FA7B15" w14:textId="6ECA5711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Olyset Plus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150A448" w14:textId="0DDC528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583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DBB14DA" w14:textId="3112A7B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63.7 [58.0, 69.4]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D1BDFF6" w14:textId="33B8CCD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16BC85E" w14:textId="5396C77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81.3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[78.1, 84.5]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EF29C7B" w14:textId="20C609B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C6A0ED3" w14:textId="686F293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30.4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[26.7, 34.1]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A221B18" w14:textId="0B8DE3C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69.2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[65.1, 73.3]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BAE7544" w14:textId="67626F4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AB15C98" w14:textId="4653E03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28.0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[24.4, 31.6]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E26AC96" w14:textId="1ACD8DA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9.1 [7.5, 10.7]</w:t>
            </w:r>
          </w:p>
        </w:tc>
      </w:tr>
      <w:tr w:rsidR="00650211" w:rsidRPr="00650211" w14:paraId="2E637092" w14:textId="6CB7DC2B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3F176773" w14:textId="637B1C49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SumiShield 50WG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FE87D2B" w14:textId="5857890B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568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516C506" w14:textId="5A6E1F8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64.7 [59.0, 70.4]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59127F6" w14:textId="4DBB6F7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CB6C55C" w14:textId="2AAF9BF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94.9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[93.1, 96.7]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ABE2EB8" w14:textId="5D67076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D130996" w14:textId="5492EAC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97.5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a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[96.2, 98.8]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C8970EA" w14:textId="2345CCA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[0.0, 3.9]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EB9634E" w14:textId="5ABEFF5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928403C" w14:textId="6C5608F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42.4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[38.3, 46.5]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864A1E" w14:textId="3BA1CDB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13.9 [11.9, 15.9]</w:t>
            </w:r>
          </w:p>
        </w:tc>
      </w:tr>
      <w:tr w:rsidR="00650211" w:rsidRPr="00650211" w14:paraId="30CCB36F" w14:textId="0ED63B57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0C0451AD" w14:textId="04F91921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Olyset Plus + SumiShield 50WG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CBE1438" w14:textId="3131501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583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31A6EED" w14:textId="2DFE4E7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63.7 [58.0, 69.4]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1E57FB" w14:textId="1015AE0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2228E0" w14:textId="2AC2519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91.6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[89.3, 93.9]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C86FA69" w14:textId="47C80B6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1414A50" w14:textId="6069B91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34.1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[30.3, 37.9]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0531FED" w14:textId="52EDB4C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[61.4, 69.6]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C798E11" w14:textId="495D6F9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305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9E6A239" w14:textId="208F081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52.3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[48.2, 56.4]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BAF354C" w14:textId="2A35329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17.9 [15.7, 20.1]</w:t>
            </w:r>
          </w:p>
        </w:tc>
      </w:tr>
      <w:tr w:rsidR="00650211" w:rsidRPr="00650211" w14:paraId="0E9D6106" w14:textId="1B9C8365" w:rsidTr="00650211">
        <w:trPr>
          <w:trHeight w:val="283"/>
        </w:trPr>
        <w:tc>
          <w:tcPr>
            <w:tcW w:w="14318" w:type="dxa"/>
            <w:gridSpan w:val="11"/>
            <w:tcBorders>
              <w:left w:val="nil"/>
            </w:tcBorders>
            <w:vAlign w:val="center"/>
          </w:tcPr>
          <w:p w14:paraId="5E698AEA" w14:textId="06D2CE16" w:rsidR="00650211" w:rsidRPr="00650211" w:rsidRDefault="00650211" w:rsidP="006502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Trial 2</w:t>
            </w:r>
          </w:p>
        </w:tc>
      </w:tr>
      <w:tr w:rsidR="00650211" w:rsidRPr="00650211" w14:paraId="70D7D730" w14:textId="120308F4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53522061" w14:textId="5172D439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hut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0B0FC30" w14:textId="3E52E6C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1258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0C773D5" w14:textId="1916065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EB3ADA3" w14:textId="7CFD1A0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E191869" w14:textId="14DC7F1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45.1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 xml:space="preserve"> [42.4, 47.8]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3CA57F2" w14:textId="7CEBC26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49CDD04" w14:textId="7B8CDC0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99.3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 xml:space="preserve"> [98.8, 99.8]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6576909" w14:textId="65E1DBD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B4CF581" w14:textId="4C5C36D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C25EC9" w14:textId="08B1BA1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1.7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[1.0, 2.4]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97B393B" w14:textId="253CDD3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–</w:t>
            </w:r>
          </w:p>
        </w:tc>
      </w:tr>
      <w:tr w:rsidR="00650211" w:rsidRPr="00650211" w14:paraId="497CFF21" w14:textId="274F55F1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51DECCD8" w14:textId="3D4472E3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net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654E63" w14:textId="0D6CFD1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1139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87D1697" w14:textId="6A05966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 [1.9, 17.1]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1D8649D" w14:textId="7368254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598B8FF" w14:textId="7D6B7E5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43.0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[40.1, 45.9]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FDDFF0" w14:textId="24BAFB0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C84B0BC" w14:textId="343E13E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83.5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[81.3, 85.7]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6030F8F" w14:textId="4C8ECAF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[12.7, 19.1]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BAB9384" w14:textId="2AFF978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D4B07B5" w14:textId="2A648B8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1.8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[1.0, 2.6]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A0B94C" w14:textId="6E4A8FF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0.0 [-1.0, 1.0]</w:t>
            </w:r>
          </w:p>
        </w:tc>
      </w:tr>
      <w:tr w:rsidR="00650211" w:rsidRPr="00650211" w14:paraId="6E76DD3B" w14:textId="15F15BAC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76C30A21" w14:textId="281EDC41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PermaNet 3.0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368783E" w14:textId="29366B8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713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9D9BDDC" w14:textId="1FDAD68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43.3 [36.4, 50.2]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1558ADF" w14:textId="2965BE4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9BD60B6" w14:textId="3F42A36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76.7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[73.6, 79.8]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133D579" w14:textId="1D0CCF6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C915500" w14:textId="0F7D775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34.2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f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[30.7, 37.7]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7639769" w14:textId="5B570A2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[61.7, 19.1]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E20DCD3" w14:textId="3D80E3B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173D245" w14:textId="14ACFBA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35.9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f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[32.4, 39.4]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7569EC3" w14:textId="4B3F58D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18.7 [16.1, 21.3]</w:t>
            </w:r>
          </w:p>
        </w:tc>
      </w:tr>
      <w:tr w:rsidR="00650211" w:rsidRPr="00650211" w14:paraId="5B81FBC9" w14:textId="01159169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38C9369A" w14:textId="202313B6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SumiShield 50WG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A408A4A" w14:textId="27C7931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842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905F247" w14:textId="7A849EC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 [26.0, 40.2]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42C6CE1" w14:textId="4CCC471B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759BA79" w14:textId="53D0B8B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92.2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[90.4, 94.0]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853796B" w14:textId="352E89E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565BFF4" w14:textId="556D8B8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95.4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[90.4, 96.8]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EDDEB09" w14:textId="668DC83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[1.2, 6.6]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CE2ACF" w14:textId="5840E14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331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22707F9" w14:textId="4C0FA6E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39.3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f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[36.0, 42.6]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3781235" w14:textId="0F82CFA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24.6 [21.7, 27.5]</w:t>
            </w:r>
          </w:p>
        </w:tc>
      </w:tr>
      <w:tr w:rsidR="00650211" w:rsidRPr="00650211" w14:paraId="2A6A7608" w14:textId="205F436A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4E0BFAE9" w14:textId="6841D61E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PermaNet 3.0 + SumiShield 50WG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CA59463" w14:textId="2E621DD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722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73A6857" w14:textId="094C140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 [35.7, 49.5]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6C1AB4B" w14:textId="46A8796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ED54658" w14:textId="484634B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88.0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e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[85.6, 90.4]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6F87F9A" w14:textId="6847364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644046B" w14:textId="0EFA408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36.1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f</w:t>
            </w:r>
            <w:r w:rsidRPr="006502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[32.6, 39.6]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7423765" w14:textId="318927E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63.6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[59.7, 67.5]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FD678E9" w14:textId="2864E41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419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54399F9" w14:textId="418EA5C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58.0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en-US"/>
              </w:rPr>
              <w:t>g</w:t>
            </w: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[54.4, 61.6]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1A9F56B" w14:textId="187A032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31.6 [28.3, 34.9]</w:t>
            </w:r>
          </w:p>
        </w:tc>
      </w:tr>
      <w:tr w:rsidR="00650211" w:rsidRPr="00650211" w14:paraId="0B1ED374" w14:textId="7038B2AB" w:rsidTr="00650211">
        <w:trPr>
          <w:trHeight w:val="283"/>
        </w:trPr>
        <w:tc>
          <w:tcPr>
            <w:tcW w:w="14318" w:type="dxa"/>
            <w:gridSpan w:val="11"/>
            <w:tcBorders>
              <w:left w:val="nil"/>
            </w:tcBorders>
            <w:vAlign w:val="center"/>
          </w:tcPr>
          <w:p w14:paraId="4A2B336F" w14:textId="301A029C" w:rsidR="00650211" w:rsidRPr="00650211" w:rsidRDefault="00650211" w:rsidP="006502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Trial 3</w:t>
            </w:r>
          </w:p>
        </w:tc>
      </w:tr>
      <w:tr w:rsidR="00650211" w:rsidRPr="00650211" w14:paraId="136F3787" w14:textId="766106E8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2E358FE7" w14:textId="0850A8F9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hut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7DE5135" w14:textId="19C8D7E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6DE3241" w14:textId="1E16ABB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53A8C7B" w14:textId="66C771A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22C0C40" w14:textId="0C5F5D5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[43.2, 48.0]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EDEA440" w14:textId="200A712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E502382" w14:textId="4BA4C2C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[98.5, 99.5]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9D9D08B" w14:textId="0AD1610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̶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4C31D1B" w14:textId="05FBCBE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DC47A44" w14:textId="27C9412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[0.8, 2.0]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352ED78" w14:textId="6ED4EA1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</w:p>
        </w:tc>
      </w:tr>
      <w:tr w:rsidR="00650211" w:rsidRPr="00650211" w14:paraId="56C0A406" w14:textId="1F6CB963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5A621501" w14:textId="196EFB9A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Untreated net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FCCA445" w14:textId="490F72B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1487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8C6F442" w14:textId="418CDEB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 [2.1, 15.5]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395784C" w14:textId="54492C4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834B9CE" w14:textId="1635A90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[43.5, 48.5]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9C8BE2B" w14:textId="1D841260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5346983" w14:textId="6EC1B5A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[82.6, 86.2]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9802E55" w14:textId="1861C9A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14.7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[11.7, 17.7]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7B4DA9D" w14:textId="7924DF9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AEE7BC1" w14:textId="16A2E4C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[0.9, 2.1]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10C590" w14:textId="0230357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 [-0.8, 0.8]</w:t>
            </w:r>
          </w:p>
        </w:tc>
      </w:tr>
      <w:tr w:rsidR="00650211" w:rsidRPr="00650211" w14:paraId="61401D18" w14:textId="0377F172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6DABD89C" w14:textId="21ADF3D7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sz w:val="16"/>
                <w:szCs w:val="16"/>
              </w:rPr>
              <w:t>Olyset Plus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4A1DBF1" w14:textId="70AFA57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552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07FB5C0" w14:textId="23A1E1E3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66.1 [60.5, 71.7]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E6C2A57" w14:textId="1463765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6A13029" w14:textId="46C0B0C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77.7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[74.2, 81.2]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0C1710F" w14:textId="7A815EA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81B0FF6" w14:textId="501866A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[23.5, 30.9]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527907F" w14:textId="53282EE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[68.5, 76.5]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936E345" w14:textId="0E7FB10F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84D5EF1" w14:textId="53B840F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31.3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[27.4, 35.2]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B764482" w14:textId="5EA18DF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 [7.5, 10.9]</w:t>
            </w:r>
          </w:p>
        </w:tc>
      </w:tr>
      <w:tr w:rsidR="00650211" w:rsidRPr="00650211" w14:paraId="41FFA57A" w14:textId="732EFB80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00DA37C4" w14:textId="742F325C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SumiShield 50WG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E9A05D0" w14:textId="1D6CF7F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956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5DDCB78" w14:textId="694A2704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 [35.2, 47.4]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8D35D70" w14:textId="5CC7C02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FB456EC" w14:textId="7623BA7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95.8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[94.5, 97.1]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4776F47" w14:textId="479C19E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4F4E4F1" w14:textId="4A9A7F6B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[95.9, 98.1]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1A43FF8" w14:textId="2417172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[0.0, 4.5]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9D74B77" w14:textId="76CFF9B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4EDFFEC" w14:textId="23AC0281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[33.0, 39.0]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C735A41" w14:textId="18E8CFAE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19.7 [17.4, 22.0]</w:t>
            </w:r>
          </w:p>
        </w:tc>
      </w:tr>
      <w:tr w:rsidR="00650211" w:rsidRPr="00650211" w14:paraId="5F0F1A5D" w14:textId="205A5A17" w:rsidTr="00650211">
        <w:trPr>
          <w:trHeight w:val="283"/>
        </w:trPr>
        <w:tc>
          <w:tcPr>
            <w:tcW w:w="2836" w:type="dxa"/>
            <w:tcBorders>
              <w:right w:val="nil"/>
            </w:tcBorders>
            <w:vAlign w:val="center"/>
          </w:tcPr>
          <w:p w14:paraId="38530F95" w14:textId="49824396" w:rsidR="00650211" w:rsidRPr="00650211" w:rsidRDefault="00650211" w:rsidP="00650211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Olyset Plus + Fludora Fusion IRS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5898E9C" w14:textId="787292AD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930DB73" w14:textId="53B52B57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71.8 [66.3, 77.3]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25FB062" w14:textId="684C86CA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BFE5EC3" w14:textId="5ADBD99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88.7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[85.8, 91.6]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8663C3" w14:textId="24E0AAA8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6AE12AD" w14:textId="59FFC74C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[12.4, 19.0]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47D2510" w14:textId="448D8766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[80.3, 87.9]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A3DD950" w14:textId="3673FE42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B3E5090" w14:textId="1AEDFEB9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63.2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[58.8, 67.6]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53EDC2D" w14:textId="3751C365" w:rsidR="00650211" w:rsidRPr="00650211" w:rsidRDefault="00650211" w:rsidP="006502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6502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 [14.3, 18.5]</w:t>
            </w:r>
          </w:p>
        </w:tc>
      </w:tr>
    </w:tbl>
    <w:p w14:paraId="5F061850" w14:textId="77777777" w:rsidR="00E31E22" w:rsidRPr="00E31E22" w:rsidRDefault="00E31E22" w:rsidP="007A3576">
      <w:pPr>
        <w:spacing w:line="480" w:lineRule="auto"/>
        <w:rPr>
          <w:rFonts w:ascii="Times New Roman" w:hAnsi="Times New Roman" w:cs="Times New Roman"/>
          <w:lang w:val="fr-FR"/>
        </w:rPr>
      </w:pPr>
    </w:p>
    <w:p w14:paraId="5503BF0B" w14:textId="77777777" w:rsidR="00E31E22" w:rsidRPr="00E31E22" w:rsidRDefault="00E31E22" w:rsidP="007A3576">
      <w:pPr>
        <w:spacing w:line="480" w:lineRule="auto"/>
        <w:rPr>
          <w:rFonts w:ascii="Times New Roman" w:hAnsi="Times New Roman" w:cs="Times New Roman"/>
          <w:b/>
          <w:bCs/>
          <w:lang w:val="fr-FR"/>
        </w:rPr>
        <w:sectPr w:rsidR="00E31E22" w:rsidRPr="00E31E22" w:rsidSect="00E31E2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6C0DD59" w14:textId="1A1F8A59" w:rsidR="00C457AD" w:rsidRPr="007A3576" w:rsidRDefault="00C457AD" w:rsidP="007A3576">
      <w:pPr>
        <w:spacing w:line="480" w:lineRule="auto"/>
        <w:rPr>
          <w:rFonts w:ascii="Times New Roman" w:hAnsi="Times New Roman" w:cs="Times New Roman"/>
          <w:b/>
          <w:bCs/>
          <w:highlight w:val="yellow"/>
        </w:rPr>
      </w:pPr>
      <w:r w:rsidRPr="007A3576">
        <w:rPr>
          <w:rFonts w:ascii="Times New Roman" w:hAnsi="Times New Roman" w:cs="Times New Roman"/>
          <w:b/>
          <w:bCs/>
        </w:rPr>
        <w:lastRenderedPageBreak/>
        <w:t xml:space="preserve">Table S2 </w:t>
      </w:r>
      <w:r w:rsidR="007A3576" w:rsidRPr="007A3576">
        <w:rPr>
          <w:rFonts w:ascii="Times New Roman" w:hAnsi="Times New Roman" w:cs="Times New Roman"/>
        </w:rPr>
        <w:t xml:space="preserve">Summary results from World Health Organisation tube tests and bottle bioassays characterising the susceptibility of </w:t>
      </w:r>
      <w:r w:rsidR="007A3576" w:rsidRPr="007A3576">
        <w:rPr>
          <w:rFonts w:ascii="Times New Roman" w:hAnsi="Times New Roman" w:cs="Times New Roman"/>
          <w:i/>
          <w:iCs/>
        </w:rPr>
        <w:t>Anopheles gambiae</w:t>
      </w:r>
      <w:r w:rsidR="007A3576" w:rsidRPr="007A3576">
        <w:rPr>
          <w:rFonts w:ascii="Times New Roman" w:hAnsi="Times New Roman" w:cs="Times New Roman"/>
        </w:rPr>
        <w:t xml:space="preserve"> sensu lato collected near the experimental hut site in Covè</w:t>
      </w:r>
      <w:r w:rsidR="007A3576">
        <w:rPr>
          <w:rFonts w:ascii="Times New Roman" w:hAnsi="Times New Roman" w:cs="Times New Roman"/>
        </w:rPr>
        <w:t xml:space="preserve"> to the active ingredients in the experimental hut treatments. </w:t>
      </w:r>
      <w:r w:rsidR="007A3576" w:rsidRPr="007A3576">
        <w:rPr>
          <w:rFonts w:ascii="Times New Roman" w:hAnsi="Times New Roman" w:cs="Times New Roman"/>
          <w:i/>
          <w:iCs/>
        </w:rPr>
        <w:t>Mortality ≥98%</w:t>
      </w:r>
      <w:r w:rsidR="007A3576">
        <w:rPr>
          <w:rFonts w:ascii="Times New Roman" w:hAnsi="Times New Roman" w:cs="Times New Roman"/>
        </w:rPr>
        <w:t xml:space="preserve"> </w:t>
      </w:r>
      <w:r w:rsidR="007A3576" w:rsidRPr="007A3576">
        <w:rPr>
          <w:rFonts w:ascii="Times New Roman" w:hAnsi="Times New Roman" w:cs="Times New Roman"/>
          <w:i/>
          <w:iCs/>
        </w:rPr>
        <w:t>indicates susceptibility at</w:t>
      </w:r>
      <w:r w:rsidR="007A3576">
        <w:rPr>
          <w:rFonts w:ascii="Times New Roman" w:hAnsi="Times New Roman" w:cs="Times New Roman"/>
          <w:i/>
          <w:iCs/>
        </w:rPr>
        <w:t xml:space="preserve"> discriminating concentrations (1x). 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76"/>
        <w:gridCol w:w="1839"/>
        <w:gridCol w:w="907"/>
        <w:gridCol w:w="798"/>
        <w:gridCol w:w="1701"/>
      </w:tblGrid>
      <w:tr w:rsidR="00C457AD" w:rsidRPr="00473F9A" w14:paraId="51327561" w14:textId="77777777" w:rsidTr="007A3576">
        <w:trPr>
          <w:trHeight w:val="57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8754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 method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E56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Insecticide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7AA1B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5AEEA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exposed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306E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dead 24 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DBAD" w14:textId="116CE158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Mortality 24 h </w:t>
            </w:r>
            <w:r w:rsidR="007A3576"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CIs</w:t>
            </w:r>
            <w:r w:rsidR="007A3576" w:rsidRPr="007A35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C457AD" w:rsidRPr="00473F9A" w14:paraId="1A693F52" w14:textId="77777777" w:rsidTr="007A3576">
        <w:trPr>
          <w:trHeight w:val="425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17CDFBE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Tube tests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445BBD0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Silicone oil + acetone (control)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242EDD0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A9F079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0E7B165F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315E7C5" w14:textId="49291343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2.0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797F270E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52AEDC9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95188B7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Piperonyl butoxide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7F6919F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93D62FD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30B892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8B5B2" w14:textId="50F54F63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4.2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54D4A131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1E0A4989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14:paraId="0BB3D395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Deltamethrin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0CC8A13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0.05% (1x)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DCB92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39B70925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E6A855" w14:textId="2B8CA02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5.1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572FC77B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7C38A63F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244EA9BD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8D26C0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0.25% (5x)</w:t>
            </w:r>
          </w:p>
        </w:tc>
        <w:tc>
          <w:tcPr>
            <w:tcW w:w="907" w:type="dxa"/>
            <w:vAlign w:val="center"/>
          </w:tcPr>
          <w:p w14:paraId="3B876DD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798" w:type="dxa"/>
            <w:vAlign w:val="center"/>
          </w:tcPr>
          <w:p w14:paraId="558D793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vAlign w:val="center"/>
          </w:tcPr>
          <w:p w14:paraId="2F6F2D76" w14:textId="162D1DAF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34.3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24.9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6DDC8B0E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5F049BB0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4ED59F4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44B652A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0.50% (10x)</w:t>
            </w:r>
          </w:p>
        </w:tc>
        <w:tc>
          <w:tcPr>
            <w:tcW w:w="907" w:type="dxa"/>
            <w:vAlign w:val="center"/>
          </w:tcPr>
          <w:p w14:paraId="0B74F353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98" w:type="dxa"/>
            <w:vAlign w:val="center"/>
          </w:tcPr>
          <w:p w14:paraId="20A75C65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01" w:type="dxa"/>
            <w:vAlign w:val="center"/>
          </w:tcPr>
          <w:p w14:paraId="4F904CBB" w14:textId="1B9FD21A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66.7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57.1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76.3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681B612D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40CF923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6294B2D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Piperonyl butoxide + Deltamethrin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2935FF93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4% + 0.05%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79A788E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C0FA45F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21A09D" w14:textId="45E82B6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63.3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53.3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73.3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3751D40C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7D6BF9C0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14:paraId="32592500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Permethrin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20ED3A5B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0.75% (1x)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7E4883B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254B0ABD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E7BD31" w14:textId="079DB941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3.0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6EC2075D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5940A2A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1FABE543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0870EF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3.75% (5x)</w:t>
            </w:r>
          </w:p>
        </w:tc>
        <w:tc>
          <w:tcPr>
            <w:tcW w:w="907" w:type="dxa"/>
            <w:vAlign w:val="center"/>
          </w:tcPr>
          <w:p w14:paraId="7855C21D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798" w:type="dxa"/>
            <w:vAlign w:val="center"/>
          </w:tcPr>
          <w:p w14:paraId="0D04CF1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vAlign w:val="center"/>
          </w:tcPr>
          <w:p w14:paraId="0C8894D3" w14:textId="3C56FBC9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45.3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35.8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54.8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33865E2B" w14:textId="77777777" w:rsidTr="00473F9A">
        <w:trPr>
          <w:trHeight w:val="425"/>
        </w:trPr>
        <w:tc>
          <w:tcPr>
            <w:tcW w:w="988" w:type="dxa"/>
            <w:vMerge/>
            <w:vAlign w:val="center"/>
          </w:tcPr>
          <w:p w14:paraId="24A17B24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14:paraId="61FDCD6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0BD9A2B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7.50% (10x)</w:t>
            </w:r>
          </w:p>
        </w:tc>
        <w:tc>
          <w:tcPr>
            <w:tcW w:w="907" w:type="dxa"/>
            <w:vAlign w:val="center"/>
          </w:tcPr>
          <w:p w14:paraId="64D054D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98" w:type="dxa"/>
            <w:vAlign w:val="center"/>
          </w:tcPr>
          <w:p w14:paraId="2753813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14:paraId="498FFA69" w14:textId="346554ED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67.4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57.7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77.1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7F0ADC05" w14:textId="77777777" w:rsidTr="00473F9A">
        <w:trPr>
          <w:trHeight w:val="425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4D77129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81D0E0F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Piperonyl butoxide + Permethrin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2DB118F6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4% + 0.75%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E176217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621B0C8E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BD9BB2" w14:textId="473D9035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5.4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C457AD" w:rsidRPr="00473F9A" w14:paraId="4039D10A" w14:textId="77777777" w:rsidTr="00473F9A">
        <w:trPr>
          <w:trHeight w:val="425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EA79C4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Bottle bioassays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F2368B8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Acetone + MERO®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6C7550A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N/A + 800 ppm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BA31F0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6BE96691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10B698" w14:textId="70EADCFB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[–, –]</w:t>
            </w:r>
          </w:p>
        </w:tc>
      </w:tr>
      <w:tr w:rsidR="00C457AD" w:rsidRPr="00473F9A" w14:paraId="38E95856" w14:textId="77777777" w:rsidTr="00473F9A">
        <w:trPr>
          <w:trHeight w:val="425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5155529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E70C849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Clothianidin + MERO®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7C04972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4 µg (1x) + 800 ppm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6CE8BB4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CD26ACE" w14:textId="77777777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5848B0" w14:textId="259A6A10" w:rsidR="00C457AD" w:rsidRPr="007A3576" w:rsidRDefault="00C457AD" w:rsidP="00183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576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r w:rsidR="007A3576" w:rsidRPr="007A3576">
              <w:rPr>
                <w:rFonts w:ascii="Times New Roman" w:hAnsi="Times New Roman" w:cs="Times New Roman"/>
                <w:sz w:val="18"/>
                <w:szCs w:val="18"/>
              </w:rPr>
              <w:t>[–, –]</w:t>
            </w:r>
          </w:p>
        </w:tc>
      </w:tr>
    </w:tbl>
    <w:p w14:paraId="55397FC3" w14:textId="7E6D1289" w:rsidR="00C457AD" w:rsidRPr="00473F9A" w:rsidRDefault="00C457AD" w:rsidP="00C457AD">
      <w:pPr>
        <w:tabs>
          <w:tab w:val="left" w:pos="3620"/>
        </w:tabs>
        <w:jc w:val="both"/>
        <w:rPr>
          <w:b/>
          <w:bCs/>
        </w:rPr>
      </w:pPr>
    </w:p>
    <w:p w14:paraId="2EB8120D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3291918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9377C56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0A48D8F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F15644E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2BADCD1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6F6BDBA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4E9B29F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E2D7C88" w14:textId="77777777" w:rsidR="00473F9A" w:rsidRDefault="00473F9A" w:rsidP="00473F9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0BC8B10" w14:textId="255629B0" w:rsidR="00473F9A" w:rsidRPr="00473F9A" w:rsidRDefault="00C13E4C" w:rsidP="00473F9A">
      <w:pPr>
        <w:spacing w:line="480" w:lineRule="auto"/>
        <w:rPr>
          <w:rFonts w:ascii="Times New Roman" w:hAnsi="Times New Roman" w:cs="Times New Roman"/>
        </w:rPr>
      </w:pPr>
      <w:r w:rsidRPr="00473F9A">
        <w:rPr>
          <w:rFonts w:ascii="Times New Roman" w:hAnsi="Times New Roman" w:cs="Times New Roman"/>
          <w:b/>
          <w:bCs/>
        </w:rPr>
        <w:lastRenderedPageBreak/>
        <w:t>Table S</w:t>
      </w:r>
      <w:r w:rsidR="00C457AD" w:rsidRPr="00473F9A">
        <w:rPr>
          <w:rFonts w:ascii="Times New Roman" w:hAnsi="Times New Roman" w:cs="Times New Roman"/>
          <w:b/>
          <w:bCs/>
        </w:rPr>
        <w:t>3</w:t>
      </w:r>
      <w:r w:rsidRPr="00473F9A">
        <w:rPr>
          <w:rFonts w:ascii="Times New Roman" w:hAnsi="Times New Roman" w:cs="Times New Roman"/>
        </w:rPr>
        <w:t xml:space="preserve"> Summary </w:t>
      </w:r>
      <w:r w:rsidR="00473F9A" w:rsidRPr="00473F9A">
        <w:rPr>
          <w:rFonts w:ascii="Times New Roman" w:hAnsi="Times New Roman" w:cs="Times New Roman"/>
        </w:rPr>
        <w:t xml:space="preserve">results from </w:t>
      </w:r>
      <w:r w:rsidR="00473F9A">
        <w:rPr>
          <w:rFonts w:ascii="Times New Roman" w:hAnsi="Times New Roman" w:cs="Times New Roman"/>
        </w:rPr>
        <w:t xml:space="preserve">residual efficacy </w:t>
      </w:r>
      <w:r w:rsidR="00473F9A" w:rsidRPr="00473F9A">
        <w:rPr>
          <w:rFonts w:ascii="Times New Roman" w:hAnsi="Times New Roman" w:cs="Times New Roman"/>
        </w:rPr>
        <w:t>wall cone bioassays conducted with</w:t>
      </w:r>
      <w:r w:rsidR="001F36F0">
        <w:rPr>
          <w:rFonts w:ascii="Times New Roman" w:hAnsi="Times New Roman" w:cs="Times New Roman"/>
        </w:rPr>
        <w:t xml:space="preserve"> wild, pyrethroid-resistant</w:t>
      </w:r>
      <w:r w:rsidR="00473F9A" w:rsidRPr="00473F9A">
        <w:rPr>
          <w:rFonts w:ascii="Times New Roman" w:hAnsi="Times New Roman" w:cs="Times New Roman"/>
        </w:rPr>
        <w:t xml:space="preserve"> </w:t>
      </w:r>
      <w:r w:rsidR="00473F9A" w:rsidRPr="00473F9A">
        <w:rPr>
          <w:rFonts w:ascii="Times New Roman" w:hAnsi="Times New Roman" w:cs="Times New Roman"/>
          <w:i/>
          <w:iCs/>
        </w:rPr>
        <w:t>Anopheles gambiae</w:t>
      </w:r>
      <w:r w:rsidR="00473F9A" w:rsidRPr="00473F9A">
        <w:rPr>
          <w:rFonts w:ascii="Times New Roman" w:hAnsi="Times New Roman" w:cs="Times New Roman"/>
        </w:rPr>
        <w:t xml:space="preserve"> sensu lato collected as larvae from breeding sites near experimental huts in Covè. </w:t>
      </w:r>
      <w:r w:rsidR="00473F9A" w:rsidRPr="00473F9A">
        <w:rPr>
          <w:rFonts w:ascii="Times New Roman" w:hAnsi="Times New Roman" w:cs="Times New Roman"/>
          <w:i/>
          <w:iCs/>
        </w:rPr>
        <w:t>A</w:t>
      </w:r>
      <w:r w:rsidR="007A3576">
        <w:rPr>
          <w:rFonts w:ascii="Times New Roman" w:hAnsi="Times New Roman" w:cs="Times New Roman"/>
          <w:i/>
          <w:iCs/>
        </w:rPr>
        <w:t>t each timepoint, a</w:t>
      </w:r>
      <w:r w:rsidR="00473F9A" w:rsidRPr="00473F9A">
        <w:rPr>
          <w:rFonts w:ascii="Times New Roman" w:hAnsi="Times New Roman" w:cs="Times New Roman"/>
          <w:i/>
          <w:iCs/>
        </w:rPr>
        <w:t>dult mosquitoes aged 3–5 days were exposed t</w:t>
      </w:r>
      <w:r w:rsidR="00473F9A">
        <w:rPr>
          <w:rFonts w:ascii="Times New Roman" w:hAnsi="Times New Roman" w:cs="Times New Roman"/>
          <w:i/>
          <w:iCs/>
        </w:rPr>
        <w:t xml:space="preserve">o sprayed walls for 30 mins in five batches of 10 to assess the residual efficacy of the indoor residual spraying treatments.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2233"/>
        <w:gridCol w:w="1129"/>
        <w:gridCol w:w="1267"/>
        <w:gridCol w:w="1128"/>
        <w:gridCol w:w="1266"/>
        <w:gridCol w:w="1078"/>
      </w:tblGrid>
      <w:tr w:rsidR="00C13E4C" w:rsidRPr="00762D26" w14:paraId="6C476566" w14:textId="77777777" w:rsidTr="00473F9A">
        <w:trPr>
          <w:trHeight w:val="44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CABE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Timepoint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52C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4377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Untreated hut (control)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FA5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SumiShield® 50WG IRS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4957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Fludora® Fusion IRS</w:t>
            </w:r>
          </w:p>
        </w:tc>
      </w:tr>
      <w:tr w:rsidR="00C13E4C" w:rsidRPr="00762D26" w14:paraId="70B2931E" w14:textId="77777777" w:rsidTr="00473F9A">
        <w:trPr>
          <w:trHeight w:val="425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9F27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7952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Replicate hut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29FF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E83B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Replicate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FE6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Replicate 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C53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Replicate 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44B8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Replicate 2</w:t>
            </w:r>
          </w:p>
        </w:tc>
      </w:tr>
      <w:tr w:rsidR="00C13E4C" w:rsidRPr="00762D26" w14:paraId="1845A370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DC2E9A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week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9895F3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1599E3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5BD976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66CAB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37CEA4A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3A34D7C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C13E4C" w:rsidRPr="00762D26" w14:paraId="4D52FD3B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429BCC7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6E00B837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2CA809E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590700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vAlign w:val="center"/>
          </w:tcPr>
          <w:p w14:paraId="5126B49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5" w:type="dxa"/>
            <w:vAlign w:val="center"/>
          </w:tcPr>
          <w:p w14:paraId="54EA6B27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83" w:type="dxa"/>
            <w:vAlign w:val="center"/>
          </w:tcPr>
          <w:p w14:paraId="401DABC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C13E4C" w:rsidRPr="00762D26" w14:paraId="6C543277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3C98C6A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61C7906" w14:textId="59640660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5BD60F" w14:textId="35AB658E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1.9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2FF974" w14:textId="5132A190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 w:rsidRP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81C8A9" w14:textId="4B82725C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FBB610" w14:textId="0E044F95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42846645" w14:textId="4D59FE6D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16EB54E0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520F16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month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BDA8F2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B3B48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223AB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33993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589637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32B9A49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C13E4C" w:rsidRPr="00762D26" w14:paraId="0762DB8A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5D23D51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2B1AFCA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35B19E3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0F88E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vAlign w:val="center"/>
          </w:tcPr>
          <w:p w14:paraId="41041FD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75" w:type="dxa"/>
            <w:vAlign w:val="center"/>
          </w:tcPr>
          <w:p w14:paraId="564598B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83" w:type="dxa"/>
            <w:vAlign w:val="center"/>
          </w:tcPr>
          <w:p w14:paraId="4700DE7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</w:tr>
      <w:tr w:rsidR="00C13E4C" w:rsidRPr="00762D26" w14:paraId="7EA12576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68CF6F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EBB75B" w14:textId="22E1D9EF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E5CC24" w14:textId="6B16B75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1.8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D54FC0" w14:textId="57EE698B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 w:rsidRP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616E50" w14:textId="76986A19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1D1CCC0" w14:textId="27CD4FC0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78A8CBD8" w14:textId="673D8C3F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5249E513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72713C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months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12EB98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8F0ECE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37F49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AF1EB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D39645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5DCB10A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C13E4C" w:rsidRPr="00762D26" w14:paraId="7EB6DEE3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77E5FC0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4D0217C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6457A7C7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11CC5FC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center"/>
          </w:tcPr>
          <w:p w14:paraId="6882162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14:paraId="6198A1FE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83" w:type="dxa"/>
            <w:vAlign w:val="center"/>
          </w:tcPr>
          <w:p w14:paraId="378B869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C13E4C" w:rsidRPr="00762D26" w14:paraId="1B1AFD89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891A5B9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68F7C68" w14:textId="6B4B341C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A45F3A" w14:textId="3263BC55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1.9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1E5E573" w14:textId="3A951466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 w:rsidRP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A03B26" w14:textId="388735BB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0A20DB" w14:textId="468FDE52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89B5BBC" w14:textId="6F484C2A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6ED7C4D2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57D3A1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months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02BB0C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2A4D9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EE63C7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76BAA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5E3B87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4C297E1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C13E4C" w:rsidRPr="00762D26" w14:paraId="534EE434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66A6A58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2228DBA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147E49B7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BDEBAF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vAlign w:val="center"/>
          </w:tcPr>
          <w:p w14:paraId="3AB836A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14:paraId="48158E1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83" w:type="dxa"/>
            <w:vAlign w:val="center"/>
          </w:tcPr>
          <w:p w14:paraId="7DF8F7F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</w:tr>
      <w:tr w:rsidR="00C13E4C" w:rsidRPr="00762D26" w14:paraId="07F6EA87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4956E6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3B8C174" w14:textId="6A013E8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E251CA" w14:textId="46AD136B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1.9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5.5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687346" w14:textId="21DEEC98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 w:rsidRP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1B0371" w14:textId="41509521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5FFD0A" w14:textId="0727E5E3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047B4446" w14:textId="59BF7FD0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17F4A48A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690004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months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7D6694D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368735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1DA0D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0B9A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6CE986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4EB885D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C13E4C" w:rsidRPr="00762D26" w14:paraId="0336E2E8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1F59048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350F399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2421E09A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2B23FFF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4B4E017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14:paraId="0A9BE8D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83" w:type="dxa"/>
            <w:vAlign w:val="center"/>
          </w:tcPr>
          <w:p w14:paraId="1A3F233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</w:tr>
      <w:tr w:rsidR="00C13E4C" w:rsidRPr="00762D26" w14:paraId="618174FE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BAB7D4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CF2D475" w14:textId="624B66B6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D630B" w14:textId="341B0656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1.9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5.6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5D9555" w14:textId="1A625FA4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 w:rsidRP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6ACEF" w14:textId="1F17C503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94F224" w14:textId="53C1E62F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761A1416" w14:textId="696FCB20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35D8CB42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E722EC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months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D7987D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5C62F8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54DC293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2E4C4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230451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00D63C6D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13E4C" w:rsidRPr="00762D26" w14:paraId="37A90DA4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58FA7C8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1C87BB9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1E33FEA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BBBFC2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05C4DDE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14:paraId="6C80AA5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83" w:type="dxa"/>
            <w:vAlign w:val="center"/>
          </w:tcPr>
          <w:p w14:paraId="1F1304BA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C13E4C" w:rsidRPr="00762D26" w14:paraId="1CCB942A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B7D1DA6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9E757AD" w14:textId="03059229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1B50C0" w14:textId="4DA323EE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2.0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5.8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1F5CBD6" w14:textId="3226CBAE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98.1 </w:t>
            </w:r>
            <w:r w:rsid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</w:t>
            </w:r>
            <w:r w:rsid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473F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99B4C6" w14:textId="59B00C9A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B8D636" w14:textId="30F1500A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98.1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9FEBDFE" w14:textId="27895DFB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  <w:tr w:rsidR="00C13E4C" w:rsidRPr="00762D26" w14:paraId="4B5C52D5" w14:textId="77777777" w:rsidTr="00473F9A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8FFCF6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months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8C4421E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N 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292601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1A3DB8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2A1B8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86F783E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5764A6B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C13E4C" w:rsidRPr="00762D26" w14:paraId="450F00F8" w14:textId="77777777" w:rsidTr="00473F9A">
        <w:trPr>
          <w:trHeight w:val="425"/>
        </w:trPr>
        <w:tc>
          <w:tcPr>
            <w:tcW w:w="851" w:type="dxa"/>
            <w:vMerge/>
            <w:vAlign w:val="center"/>
          </w:tcPr>
          <w:p w14:paraId="2FE2907E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vAlign w:val="center"/>
          </w:tcPr>
          <w:p w14:paraId="21CE06D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dead 120 h</w:t>
            </w:r>
          </w:p>
        </w:tc>
        <w:tc>
          <w:tcPr>
            <w:tcW w:w="1134" w:type="dxa"/>
            <w:vAlign w:val="center"/>
          </w:tcPr>
          <w:p w14:paraId="77E85FFB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28B71B25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center"/>
          </w:tcPr>
          <w:p w14:paraId="139910C4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75" w:type="dxa"/>
            <w:vAlign w:val="center"/>
          </w:tcPr>
          <w:p w14:paraId="7224FD20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83" w:type="dxa"/>
            <w:vAlign w:val="center"/>
          </w:tcPr>
          <w:p w14:paraId="100FB13C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C13E4C" w:rsidRPr="00762D26" w14:paraId="0716BBF8" w14:textId="77777777" w:rsidTr="00473F9A">
        <w:trPr>
          <w:trHeight w:val="425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BA51072" w14:textId="7777777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674C3E6" w14:textId="16D6CC7B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Mortality 120 h 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CIs</w:t>
            </w:r>
            <w:r w:rsidR="00473F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8C2A58" w14:textId="6B2099E7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5.9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4138FF" w14:textId="5DB30839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98.1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49656" w14:textId="4F0934F3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7812EB" w14:textId="4D81964C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98.2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94.7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27AAB9F" w14:textId="7295AE18" w:rsidR="00C13E4C" w:rsidRPr="00473F9A" w:rsidRDefault="00C13E4C" w:rsidP="0004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9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="00473F9A">
              <w:rPr>
                <w:rFonts w:ascii="Times New Roman" w:hAnsi="Times New Roman" w:cs="Times New Roman"/>
                <w:sz w:val="16"/>
                <w:szCs w:val="16"/>
              </w:rPr>
              <w:t>[–, –]</w:t>
            </w:r>
          </w:p>
        </w:tc>
      </w:tr>
    </w:tbl>
    <w:p w14:paraId="32417883" w14:textId="77777777" w:rsidR="00E31E22" w:rsidRDefault="00E31E22" w:rsidP="00473F9A">
      <w:pPr>
        <w:spacing w:before="240" w:line="480" w:lineRule="auto"/>
        <w:rPr>
          <w:rFonts w:ascii="Times New Roman" w:hAnsi="Times New Roman" w:cs="Times New Roman"/>
          <w:b/>
          <w:bCs/>
        </w:rPr>
      </w:pPr>
    </w:p>
    <w:p w14:paraId="176DFFB3" w14:textId="77777777" w:rsidR="00E31E22" w:rsidRDefault="00E31E22" w:rsidP="00473F9A">
      <w:pPr>
        <w:spacing w:before="240" w:line="480" w:lineRule="auto"/>
        <w:rPr>
          <w:rFonts w:ascii="Times New Roman" w:hAnsi="Times New Roman" w:cs="Times New Roman"/>
          <w:b/>
          <w:bCs/>
        </w:rPr>
      </w:pPr>
    </w:p>
    <w:p w14:paraId="0B2D4370" w14:textId="2D6C9161" w:rsidR="000E2A60" w:rsidRPr="000E2A60" w:rsidRDefault="00C13E4C" w:rsidP="00473F9A">
      <w:pPr>
        <w:spacing w:before="240" w:line="480" w:lineRule="auto"/>
        <w:rPr>
          <w:rFonts w:ascii="Times New Roman" w:hAnsi="Times New Roman" w:cs="Times New Roman"/>
        </w:rPr>
      </w:pPr>
      <w:r w:rsidRPr="000E2A60">
        <w:rPr>
          <w:rFonts w:ascii="Times New Roman" w:hAnsi="Times New Roman" w:cs="Times New Roman"/>
          <w:b/>
          <w:bCs/>
        </w:rPr>
        <w:lastRenderedPageBreak/>
        <w:t>Table S</w:t>
      </w:r>
      <w:r w:rsidR="00C457AD" w:rsidRPr="000E2A60">
        <w:rPr>
          <w:rFonts w:ascii="Times New Roman" w:hAnsi="Times New Roman" w:cs="Times New Roman"/>
          <w:b/>
          <w:bCs/>
        </w:rPr>
        <w:t>4</w:t>
      </w:r>
      <w:r w:rsidRPr="000E2A60">
        <w:rPr>
          <w:rFonts w:ascii="Times New Roman" w:hAnsi="Times New Roman" w:cs="Times New Roman"/>
        </w:rPr>
        <w:t xml:space="preserve"> </w:t>
      </w:r>
      <w:r w:rsidR="000E2A60" w:rsidRPr="000E2A60">
        <w:rPr>
          <w:rFonts w:ascii="Times New Roman" w:hAnsi="Times New Roman" w:cs="Times New Roman"/>
        </w:rPr>
        <w:t>Summary results from interaction bioassays investigating the impact of piperonyl butoxide pre-exposure on the toxicity of clothianidin against</w:t>
      </w:r>
      <w:r w:rsidR="001F36F0">
        <w:rPr>
          <w:rFonts w:ascii="Times New Roman" w:hAnsi="Times New Roman" w:cs="Times New Roman"/>
        </w:rPr>
        <w:t xml:space="preserve"> wild, pyrethroid-resistant</w:t>
      </w:r>
      <w:r w:rsidR="000E2A60" w:rsidRPr="000E2A60">
        <w:rPr>
          <w:rFonts w:ascii="Times New Roman" w:hAnsi="Times New Roman" w:cs="Times New Roman"/>
        </w:rPr>
        <w:t xml:space="preserve"> </w:t>
      </w:r>
      <w:r w:rsidR="000E2A60" w:rsidRPr="000E2A60">
        <w:rPr>
          <w:rFonts w:ascii="Times New Roman" w:hAnsi="Times New Roman" w:cs="Times New Roman"/>
          <w:i/>
          <w:iCs/>
        </w:rPr>
        <w:t>Anopheles gambiae</w:t>
      </w:r>
      <w:r w:rsidR="000E2A60" w:rsidRPr="000E2A60">
        <w:rPr>
          <w:rFonts w:ascii="Times New Roman" w:hAnsi="Times New Roman" w:cs="Times New Roman"/>
        </w:rPr>
        <w:t xml:space="preserve"> sensu lato collected as larvae from breeding sites near experimental huts in Covè.</w:t>
      </w:r>
      <w:r w:rsidR="000E2A60">
        <w:rPr>
          <w:rFonts w:ascii="Times New Roman" w:hAnsi="Times New Roman" w:cs="Times New Roman"/>
        </w:rPr>
        <w:t xml:space="preserve"> </w:t>
      </w:r>
      <w:r w:rsidR="000E2A60" w:rsidRPr="000E2A60">
        <w:rPr>
          <w:rFonts w:ascii="Times New Roman" w:hAnsi="Times New Roman" w:cs="Times New Roman"/>
          <w:i/>
          <w:iCs/>
        </w:rPr>
        <w:t xml:space="preserve">Adult mosquitoes aged 3–5 days were exposed to filter papers impregnated with various doses of clothianidin either alone or with pre-exposure to the discriminating concentration of piperonyl butoxide.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55"/>
        <w:gridCol w:w="992"/>
        <w:gridCol w:w="809"/>
        <w:gridCol w:w="1871"/>
        <w:gridCol w:w="1621"/>
      </w:tblGrid>
      <w:tr w:rsidR="00C13E4C" w:rsidRPr="000E2A60" w14:paraId="46FE1A28" w14:textId="77777777" w:rsidTr="000E2A6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F1010" w14:textId="77777777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Treatment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7FD98" w14:textId="77777777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88A82" w14:textId="77777777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exposed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67259" w14:textId="77777777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dead 168 h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80FF" w14:textId="7AAB32AC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Mortality 168 h </w:t>
            </w:r>
            <w:r w:rsidR="000E2A60"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CIs</w:t>
            </w:r>
            <w:r w:rsidR="000E2A60"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871C" w14:textId="6D913E65" w:rsidR="00C13E4C" w:rsidRPr="000E2A60" w:rsidRDefault="00C13E4C" w:rsidP="00042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Corrected mortality 168 h </w:t>
            </w:r>
            <w:r w:rsid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 CIs</w:t>
            </w:r>
            <w:r w:rsid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</w:tr>
      <w:tr w:rsidR="00C13E4C" w:rsidRPr="000E2A60" w14:paraId="698CFCE7" w14:textId="77777777" w:rsidTr="00473F9A">
        <w:trPr>
          <w:trHeight w:val="42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D3E5A55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Distilled water (control)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7C1C34A2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1C2F2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114AA2C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77543097" w14:textId="4303DA86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 xml:space="preserve">17.0 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73D911CE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̶</w:t>
            </w:r>
          </w:p>
        </w:tc>
      </w:tr>
      <w:tr w:rsidR="00C13E4C" w:rsidRPr="000E2A60" w14:paraId="5104D72F" w14:textId="77777777" w:rsidTr="00473F9A">
        <w:trPr>
          <w:trHeight w:val="425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CF078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Piperonyl butoxide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015FB4B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A368BA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4AF58887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88389FF" w14:textId="34E16D51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 xml:space="preserve">15.0 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  <w:r w:rsidR="000E2A6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7951C523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̶</w:t>
            </w:r>
          </w:p>
        </w:tc>
      </w:tr>
      <w:tr w:rsidR="00C13E4C" w:rsidRPr="000E2A60" w14:paraId="39BEB13B" w14:textId="77777777" w:rsidTr="00473F9A">
        <w:trPr>
          <w:trHeight w:val="425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1C00F8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Clothianidin alone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001F6AC9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0.025%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05046D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32BB3559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52FA6DE0" w14:textId="5089524E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49.5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6C55FC58" w14:textId="3DA2924B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39.2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40CE3244" w14:textId="77777777" w:rsidTr="00473F9A">
        <w:trPr>
          <w:trHeight w:val="425"/>
        </w:trPr>
        <w:tc>
          <w:tcPr>
            <w:tcW w:w="2268" w:type="dxa"/>
            <w:vMerge/>
            <w:vAlign w:val="center"/>
          </w:tcPr>
          <w:p w14:paraId="63A2089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A314341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0.05%</w:t>
            </w:r>
          </w:p>
        </w:tc>
        <w:tc>
          <w:tcPr>
            <w:tcW w:w="992" w:type="dxa"/>
            <w:vAlign w:val="center"/>
          </w:tcPr>
          <w:p w14:paraId="2EEDF4BF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09" w:type="dxa"/>
            <w:vAlign w:val="center"/>
          </w:tcPr>
          <w:p w14:paraId="79D31EF2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71" w:type="dxa"/>
            <w:vAlign w:val="center"/>
          </w:tcPr>
          <w:p w14:paraId="335728C5" w14:textId="1FA4CDC5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43.0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31C3D4F9" w14:textId="5C84135D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31.3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27651A70" w14:textId="77777777" w:rsidTr="00473F9A">
        <w:trPr>
          <w:trHeight w:val="425"/>
        </w:trPr>
        <w:tc>
          <w:tcPr>
            <w:tcW w:w="2268" w:type="dxa"/>
            <w:vMerge/>
            <w:vAlign w:val="center"/>
          </w:tcPr>
          <w:p w14:paraId="416B446D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B2CEEC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0.125%</w:t>
            </w:r>
          </w:p>
        </w:tc>
        <w:tc>
          <w:tcPr>
            <w:tcW w:w="992" w:type="dxa"/>
            <w:vAlign w:val="center"/>
          </w:tcPr>
          <w:p w14:paraId="15D01DD6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09" w:type="dxa"/>
            <w:vAlign w:val="center"/>
          </w:tcPr>
          <w:p w14:paraId="6C15454D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71" w:type="dxa"/>
            <w:vAlign w:val="center"/>
          </w:tcPr>
          <w:p w14:paraId="07107B69" w14:textId="3791F594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43.7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1E5B15EE" w14:textId="43583A4D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32.2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435E0DE0" w14:textId="77777777" w:rsidTr="00473F9A">
        <w:trPr>
          <w:trHeight w:val="425"/>
        </w:trPr>
        <w:tc>
          <w:tcPr>
            <w:tcW w:w="2268" w:type="dxa"/>
            <w:vMerge/>
            <w:vAlign w:val="center"/>
          </w:tcPr>
          <w:p w14:paraId="6CB3FF65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059B52F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0.25%</w:t>
            </w:r>
          </w:p>
        </w:tc>
        <w:tc>
          <w:tcPr>
            <w:tcW w:w="992" w:type="dxa"/>
            <w:vAlign w:val="center"/>
          </w:tcPr>
          <w:p w14:paraId="1C88B0B5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09" w:type="dxa"/>
            <w:vAlign w:val="center"/>
          </w:tcPr>
          <w:p w14:paraId="42EFC10F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71" w:type="dxa"/>
            <w:vAlign w:val="center"/>
          </w:tcPr>
          <w:p w14:paraId="02CE23DC" w14:textId="0244D9A0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54.8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61.7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3942665F" w14:textId="5BC5D33E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45.5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2864B947" w14:textId="77777777" w:rsidTr="00473F9A">
        <w:trPr>
          <w:trHeight w:val="425"/>
        </w:trPr>
        <w:tc>
          <w:tcPr>
            <w:tcW w:w="2268" w:type="dxa"/>
            <w:vMerge/>
            <w:vAlign w:val="center"/>
          </w:tcPr>
          <w:p w14:paraId="0A47202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65A9EAA2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0.5%</w:t>
            </w:r>
          </w:p>
        </w:tc>
        <w:tc>
          <w:tcPr>
            <w:tcW w:w="992" w:type="dxa"/>
            <w:vAlign w:val="center"/>
          </w:tcPr>
          <w:p w14:paraId="429B40F6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09" w:type="dxa"/>
            <w:vAlign w:val="center"/>
          </w:tcPr>
          <w:p w14:paraId="5917FDB9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71" w:type="dxa"/>
            <w:vAlign w:val="center"/>
          </w:tcPr>
          <w:p w14:paraId="086D92AE" w14:textId="088EC462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72.4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6EA0C2F9" w14:textId="42C5A9E6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66.7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60.1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1F1EFE44" w14:textId="77777777" w:rsidTr="00473F9A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B24A525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07E059CE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Pooled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E1F3C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2B50E445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951E489" w14:textId="7EA12F2A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52.7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5B941D3" w14:textId="724EFD9D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43.0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7BA79AFA" w14:textId="77777777" w:rsidTr="00473F9A">
        <w:trPr>
          <w:trHeight w:val="425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FBEFA" w14:textId="2362B64D" w:rsid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Clothianidin with piperonyl butoxide</w:t>
            </w:r>
          </w:p>
          <w:p w14:paraId="030D3C8A" w14:textId="4381607F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pre-exposure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2DD838B3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 + 0.025%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03F834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4255D72E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722CD5F3" w14:textId="48A1B62B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59.9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53.0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14:paraId="3D18CE1A" w14:textId="335E7215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51.7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64B4CF70" w14:textId="77777777" w:rsidTr="00473F9A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7F1595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0FE1808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 + 0.05%</w:t>
            </w:r>
          </w:p>
        </w:tc>
        <w:tc>
          <w:tcPr>
            <w:tcW w:w="992" w:type="dxa"/>
            <w:vAlign w:val="center"/>
          </w:tcPr>
          <w:p w14:paraId="1EECBD2E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09" w:type="dxa"/>
            <w:vAlign w:val="center"/>
          </w:tcPr>
          <w:p w14:paraId="7B22521E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71" w:type="dxa"/>
            <w:vAlign w:val="center"/>
          </w:tcPr>
          <w:p w14:paraId="6EB542E1" w14:textId="0012E309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66.3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3AD3A6DA" w14:textId="6D00136D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59.4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4C74D7D6" w14:textId="77777777" w:rsidTr="00473F9A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86D827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B1F093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 + 0.125%</w:t>
            </w:r>
          </w:p>
        </w:tc>
        <w:tc>
          <w:tcPr>
            <w:tcW w:w="992" w:type="dxa"/>
            <w:vAlign w:val="center"/>
          </w:tcPr>
          <w:p w14:paraId="50B0590B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09" w:type="dxa"/>
            <w:vAlign w:val="center"/>
          </w:tcPr>
          <w:p w14:paraId="1854D656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71" w:type="dxa"/>
            <w:vAlign w:val="center"/>
          </w:tcPr>
          <w:p w14:paraId="09AF64D5" w14:textId="089D4299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61.4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28BBECB6" w14:textId="1F45391F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53.5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4688ACBC" w14:textId="77777777" w:rsidTr="00473F9A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988FECA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7A36140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 + 0.25%</w:t>
            </w:r>
          </w:p>
        </w:tc>
        <w:tc>
          <w:tcPr>
            <w:tcW w:w="992" w:type="dxa"/>
            <w:vAlign w:val="center"/>
          </w:tcPr>
          <w:p w14:paraId="31D6B43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09" w:type="dxa"/>
            <w:vAlign w:val="center"/>
          </w:tcPr>
          <w:p w14:paraId="14CD2F6D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71" w:type="dxa"/>
            <w:vAlign w:val="center"/>
          </w:tcPr>
          <w:p w14:paraId="1EA122F8" w14:textId="1A150ABD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64.3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26C74AAE" w14:textId="35985EF1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57.0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1AC93796" w14:textId="77777777" w:rsidTr="00473F9A">
        <w:trPr>
          <w:trHeight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45772A1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9D54529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 + 0.5%</w:t>
            </w:r>
          </w:p>
        </w:tc>
        <w:tc>
          <w:tcPr>
            <w:tcW w:w="992" w:type="dxa"/>
            <w:vAlign w:val="center"/>
          </w:tcPr>
          <w:p w14:paraId="75CAF1FC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09" w:type="dxa"/>
            <w:vAlign w:val="center"/>
          </w:tcPr>
          <w:p w14:paraId="05B24451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71" w:type="dxa"/>
            <w:vAlign w:val="center"/>
          </w:tcPr>
          <w:p w14:paraId="22F37CF8" w14:textId="343EAA70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75.6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vAlign w:val="center"/>
          </w:tcPr>
          <w:p w14:paraId="720DE9A4" w14:textId="731EC7F0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70.6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64.2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C13E4C" w:rsidRPr="000E2A60" w14:paraId="5B117F32" w14:textId="77777777" w:rsidTr="00473F9A">
        <w:trPr>
          <w:trHeight w:val="425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62479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4D920B86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Pooled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D0FE26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4AB2FC47" w14:textId="77777777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F850F07" w14:textId="28CEED14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65.5 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</w:t>
            </w:r>
            <w:r w:rsid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E9E5436" w14:textId="55FDE424" w:rsidR="00C13E4C" w:rsidRPr="000E2A60" w:rsidRDefault="00C13E4C" w:rsidP="00473F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58.5 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68.6</w:t>
            </w:r>
            <w:r w:rsidR="000E2A60" w:rsidRPr="000E2A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</w:tbl>
    <w:p w14:paraId="49498A5D" w14:textId="77777777" w:rsidR="00C13E4C" w:rsidRPr="000E2A60" w:rsidRDefault="00C13E4C" w:rsidP="00C13E4C">
      <w:pPr>
        <w:jc w:val="both"/>
        <w:rPr>
          <w:rFonts w:ascii="Times New Roman" w:hAnsi="Times New Roman" w:cs="Times New Roman"/>
        </w:rPr>
      </w:pPr>
    </w:p>
    <w:p w14:paraId="254DEC86" w14:textId="77777777" w:rsidR="00C13E4C" w:rsidRPr="000E2A60" w:rsidRDefault="00C13E4C" w:rsidP="00C13E4C">
      <w:pPr>
        <w:jc w:val="both"/>
        <w:rPr>
          <w:rFonts w:ascii="Times New Roman" w:hAnsi="Times New Roman" w:cs="Times New Roman"/>
        </w:rPr>
      </w:pPr>
    </w:p>
    <w:p w14:paraId="3977A93F" w14:textId="77777777" w:rsidR="00C13E4C" w:rsidRPr="00DF42CD" w:rsidRDefault="00C13E4C" w:rsidP="00C13E4C">
      <w:pPr>
        <w:jc w:val="both"/>
      </w:pPr>
    </w:p>
    <w:p w14:paraId="20D15E2E" w14:textId="77777777" w:rsidR="00110BBC" w:rsidRDefault="00110BBC"/>
    <w:sectPr w:rsidR="0011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4C"/>
    <w:rsid w:val="000E2A60"/>
    <w:rsid w:val="00110BBC"/>
    <w:rsid w:val="001E5E66"/>
    <w:rsid w:val="001F36F0"/>
    <w:rsid w:val="002A7049"/>
    <w:rsid w:val="00337D6F"/>
    <w:rsid w:val="003A176E"/>
    <w:rsid w:val="00473F9A"/>
    <w:rsid w:val="0052683E"/>
    <w:rsid w:val="00650211"/>
    <w:rsid w:val="006C5030"/>
    <w:rsid w:val="007A3576"/>
    <w:rsid w:val="00801DE8"/>
    <w:rsid w:val="00AA77AC"/>
    <w:rsid w:val="00AB448C"/>
    <w:rsid w:val="00C13E4C"/>
    <w:rsid w:val="00C457AD"/>
    <w:rsid w:val="00D112D0"/>
    <w:rsid w:val="00E31E22"/>
    <w:rsid w:val="00F704DF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E447"/>
  <w15:chartTrackingRefBased/>
  <w15:docId w15:val="{855BE690-F465-44B4-9EC1-1355056B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4C"/>
  </w:style>
  <w:style w:type="paragraph" w:styleId="Heading1">
    <w:name w:val="heading 1"/>
    <w:basedOn w:val="Normal"/>
    <w:next w:val="Normal"/>
    <w:link w:val="Heading1Char"/>
    <w:uiPriority w:val="9"/>
    <w:qFormat/>
    <w:rsid w:val="00C13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Syme</dc:creator>
  <cp:keywords/>
  <dc:description/>
  <cp:lastModifiedBy>Thomas Syme</cp:lastModifiedBy>
  <cp:revision>5</cp:revision>
  <dcterms:created xsi:type="dcterms:W3CDTF">2024-11-28T08:05:00Z</dcterms:created>
  <dcterms:modified xsi:type="dcterms:W3CDTF">2026-05-22T11:55:00Z</dcterms:modified>
</cp:coreProperties>
</file>