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5040A" w14:textId="77777777" w:rsidR="00AF77B9" w:rsidRPr="00A15317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39B96577" wp14:editId="18764ADE">
            <wp:extent cx="5724525" cy="4657725"/>
            <wp:effectExtent l="0" t="0" r="9525" b="9525"/>
            <wp:docPr id="7" name="图片 7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8D051" w14:textId="77777777" w:rsidR="00AF77B9" w:rsidRPr="00A15317" w:rsidRDefault="00AF77B9" w:rsidP="00AF77B9">
      <w:pPr>
        <w:pStyle w:val="Heading3"/>
        <w:ind w:leftChars="0" w:left="1200" w:hangingChars="500" w:hanging="1200"/>
        <w:rPr>
          <w:rFonts w:ascii="Times New Roman" w:hAnsi="Times New Roman" w:cs="Times New Roman"/>
          <w:sz w:val="24"/>
          <w:szCs w:val="24"/>
          <w:lang w:eastAsia="zh-CN"/>
        </w:rPr>
      </w:pPr>
      <w:r w:rsidRPr="00A15317">
        <w:rPr>
          <w:rFonts w:ascii="Times New Roman" w:hAnsi="Times New Roman" w:cs="Times New Roman"/>
          <w:sz w:val="24"/>
          <w:szCs w:val="24"/>
          <w:lang w:eastAsia="zh-CN"/>
        </w:rPr>
        <w:t>Fig. S1.</w:t>
      </w:r>
    </w:p>
    <w:p w14:paraId="538CA7B7" w14:textId="77777777" w:rsidR="00AF77B9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Enrichment analysis of 74 intersecting DEGs of m6A clusters. (A to B) Bar plot (A) and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dotplot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(B) of GO enrichment in cellular component terms, biological process terms and molecular function terms. (C to D) Bar plot (C) and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dotplot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(D) of KEGG</w:t>
      </w:r>
      <w:r w:rsidRPr="00A15317">
        <w:rPr>
          <w:rFonts w:ascii="Times New Roman" w:hAnsi="Times New Roman" w:cs="Times New Roman"/>
          <w:sz w:val="24"/>
          <w:szCs w:val="24"/>
        </w:rPr>
        <w:t xml:space="preserve"> 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enriched terms. BP: </w:t>
      </w:r>
      <w:r>
        <w:rPr>
          <w:rFonts w:ascii="Times New Roman" w:eastAsia="SimSun" w:hAnsi="Times New Roman" w:cs="Times New Roman"/>
          <w:sz w:val="24"/>
          <w:szCs w:val="24"/>
        </w:rPr>
        <w:t>b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iological process; CC: </w:t>
      </w:r>
      <w:r>
        <w:rPr>
          <w:rFonts w:ascii="Times New Roman" w:eastAsia="SimSun" w:hAnsi="Times New Roman" w:cs="Times New Roman"/>
          <w:sz w:val="24"/>
          <w:szCs w:val="24"/>
        </w:rPr>
        <w:t>c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ell component; MF: </w:t>
      </w:r>
      <w:r>
        <w:rPr>
          <w:rFonts w:ascii="Times New Roman" w:eastAsia="SimSun" w:hAnsi="Times New Roman" w:cs="Times New Roman"/>
          <w:sz w:val="24"/>
          <w:szCs w:val="24"/>
        </w:rPr>
        <w:t>m</w:t>
      </w:r>
      <w:r w:rsidRPr="00A15317">
        <w:rPr>
          <w:rFonts w:ascii="Times New Roman" w:eastAsia="SimSun" w:hAnsi="Times New Roman" w:cs="Times New Roman"/>
          <w:sz w:val="24"/>
          <w:szCs w:val="24"/>
        </w:rPr>
        <w:t>olecular function.</w:t>
      </w:r>
    </w:p>
    <w:p w14:paraId="560AEDB9" w14:textId="77777777" w:rsidR="00AF77B9" w:rsidRPr="00A15317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22F447" wp14:editId="1102022A">
            <wp:extent cx="5734050" cy="3962400"/>
            <wp:effectExtent l="0" t="0" r="0" b="0"/>
            <wp:docPr id="8" name="图片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4EAEAA" w14:textId="77777777" w:rsidR="00AF77B9" w:rsidRPr="00A15317" w:rsidRDefault="00AF77B9" w:rsidP="00AF77B9">
      <w:pPr>
        <w:pStyle w:val="Heading3"/>
        <w:ind w:leftChars="0" w:left="1200" w:hangingChars="500" w:hanging="1200"/>
        <w:rPr>
          <w:rFonts w:ascii="Times New Roman" w:hAnsi="Times New Roman" w:cs="Times New Roman"/>
          <w:sz w:val="24"/>
          <w:szCs w:val="24"/>
          <w:lang w:eastAsia="zh-CN"/>
        </w:rPr>
      </w:pPr>
      <w:r w:rsidRPr="00A15317">
        <w:rPr>
          <w:rFonts w:ascii="Times New Roman" w:hAnsi="Times New Roman" w:cs="Times New Roman"/>
          <w:sz w:val="24"/>
          <w:szCs w:val="24"/>
          <w:lang w:eastAsia="zh-CN"/>
        </w:rPr>
        <w:t>Fig. S2.</w:t>
      </w:r>
    </w:p>
    <w:p w14:paraId="718FB581" w14:textId="77777777" w:rsidR="00AF77B9" w:rsidRDefault="00AF77B9" w:rsidP="00AF77B9">
      <w:pPr>
        <w:rPr>
          <w:rFonts w:ascii="Times New Roman" w:eastAsia="SimSun" w:hAnsi="Times New Roman" w:cs="Times New Roman"/>
          <w:color w:val="FF0000"/>
          <w:sz w:val="24"/>
          <w:szCs w:val="24"/>
        </w:rPr>
      </w:pP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Characteristics of 6 DEGs of m6A clusters in prostate cancer. (A) (a) The CNV variation frequency of 6 DEGs in TCGA-PRAD. Green dot: deletion frequency; red dot: amplification frequency. (b) The location of CNV alterations of 6 DEGs on 23 chromosomes. (B) Box plot of expression of 6 DEGs in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PCa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and normal tissues. Median values ± interquartile ranges are shown in the graph. * P &lt; 0.05, ** P &lt; 0.01, and *** P &lt; 0.001. (C) The mutation frequency of 6 DEGs in 475 TCGA-PRAD patients is shown on the waterfall plot. </w:t>
      </w:r>
      <w:r w:rsidRPr="00A15317">
        <w:rPr>
          <w:rFonts w:ascii="Times New Roman" w:eastAsia="SimSun" w:hAnsi="Times New Roman" w:cs="Times New Roman"/>
          <w:color w:val="FF0000"/>
          <w:sz w:val="24"/>
          <w:szCs w:val="24"/>
        </w:rPr>
        <w:t xml:space="preserve">The column represents individual patients, the upper bar plot shows </w:t>
      </w:r>
      <w:r>
        <w:rPr>
          <w:rFonts w:ascii="Times New Roman" w:eastAsia="SimSun" w:hAnsi="Times New Roman" w:cs="Times New Roman"/>
          <w:color w:val="FF0000"/>
          <w:sz w:val="24"/>
          <w:szCs w:val="24"/>
        </w:rPr>
        <w:t xml:space="preserve">the </w:t>
      </w:r>
      <w:r w:rsidRPr="00A15317">
        <w:rPr>
          <w:rFonts w:ascii="Times New Roman" w:eastAsia="SimSun" w:hAnsi="Times New Roman" w:cs="Times New Roman"/>
          <w:color w:val="FF0000"/>
          <w:sz w:val="24"/>
          <w:szCs w:val="24"/>
        </w:rPr>
        <w:t>TMB, the right bar plot shows the proportion of each variant type, and the stacked bar plot below shows the transformed fraction of each patient.</w:t>
      </w:r>
    </w:p>
    <w:p w14:paraId="3132F88C" w14:textId="77777777" w:rsidR="00AF77B9" w:rsidRPr="00A15317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 wp14:anchorId="1519CBD8" wp14:editId="19ADD4FE">
            <wp:extent cx="5734050" cy="3448050"/>
            <wp:effectExtent l="0" t="0" r="0" b="0"/>
            <wp:docPr id="9" name="图片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5CEE1" w14:textId="77777777" w:rsidR="00AF77B9" w:rsidRPr="00A15317" w:rsidRDefault="00AF77B9" w:rsidP="00AF77B9">
      <w:pPr>
        <w:pStyle w:val="Heading3"/>
        <w:ind w:leftChars="0" w:left="1200" w:hangingChars="500" w:hanging="1200"/>
        <w:rPr>
          <w:rFonts w:ascii="Times New Roman" w:hAnsi="Times New Roman" w:cs="Times New Roman"/>
          <w:sz w:val="24"/>
          <w:szCs w:val="24"/>
          <w:lang w:eastAsia="zh-CN"/>
        </w:rPr>
      </w:pPr>
      <w:r w:rsidRPr="00A15317">
        <w:rPr>
          <w:rFonts w:ascii="Times New Roman" w:hAnsi="Times New Roman" w:cs="Times New Roman"/>
          <w:sz w:val="24"/>
          <w:szCs w:val="24"/>
          <w:lang w:eastAsia="zh-CN"/>
        </w:rPr>
        <w:t>Fig. S3.</w:t>
      </w:r>
    </w:p>
    <w:p w14:paraId="418E542C" w14:textId="77777777" w:rsidR="00AF77B9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Expression of 6 DEGs of m6A clusters in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PCa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prognosis and different clinicopathological characteristics. (A to D) Distribution of 6 representative DEGs in TCGA-PRAD data stratified by GS (A),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pT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(B), RFS (C), and TP53 mutation (D). In the box plots, the median ± interquartile range of values is shown in the graph, and P values are shown above each pair of comparisons. (E) Prognosis network of interactions between 6 DEGs in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PCa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>. The P values of each regulator on the prognosis are shown as circle</w:t>
      </w:r>
      <w:r>
        <w:rPr>
          <w:rFonts w:ascii="Times New Roman" w:eastAsia="SimSun" w:hAnsi="Times New Roman" w:cs="Times New Roman"/>
          <w:sz w:val="24"/>
          <w:szCs w:val="24"/>
        </w:rPr>
        <w:t>s of different sizes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. Purple in the right hemisphere: risk factors for RFS; green in the right hemisphere: favorable factors for RFS. </w:t>
      </w:r>
      <w:r>
        <w:rPr>
          <w:rFonts w:ascii="Times New Roman" w:eastAsia="SimSun" w:hAnsi="Times New Roman" w:cs="Times New Roman"/>
          <w:sz w:val="24"/>
          <w:szCs w:val="24"/>
        </w:rPr>
        <w:t>U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pregulation (top) or no significant differences (Ns) of 6 DEGs in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PCa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compared with normal tissues </w:t>
      </w:r>
      <w:r>
        <w:rPr>
          <w:rFonts w:ascii="Times New Roman" w:eastAsia="SimSun" w:hAnsi="Times New Roman" w:cs="Times New Roman"/>
          <w:sz w:val="24"/>
          <w:szCs w:val="24"/>
        </w:rPr>
        <w:t>are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filled with red and gray on the left hemisphere, respectively. </w:t>
      </w:r>
      <w:r>
        <w:rPr>
          <w:rFonts w:ascii="Times New Roman" w:eastAsia="SimSun" w:hAnsi="Times New Roman" w:cs="Times New Roman"/>
          <w:sz w:val="24"/>
          <w:szCs w:val="24"/>
        </w:rPr>
        <w:t>P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ositive or negative correlations of 6 DEGs </w:t>
      </w:r>
      <w:r>
        <w:rPr>
          <w:rFonts w:ascii="Times New Roman" w:eastAsia="SimSun" w:hAnsi="Times New Roman" w:cs="Times New Roman"/>
          <w:sz w:val="24"/>
          <w:szCs w:val="24"/>
        </w:rPr>
        <w:t>are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linked with lines of different colors (pink: positive, blue: negative), and the correlation strength between them is shown as lines</w:t>
      </w:r>
      <w:r w:rsidRPr="00A15317" w:rsidDel="00F37927">
        <w:rPr>
          <w:rFonts w:ascii="Times New Roman" w:eastAsia="SimSun" w:hAnsi="Times New Roman" w:cs="Times New Roman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 xml:space="preserve">of </w:t>
      </w:r>
      <w:r w:rsidRPr="00A15317">
        <w:rPr>
          <w:rFonts w:ascii="Times New Roman" w:eastAsia="SimSun" w:hAnsi="Times New Roman" w:cs="Times New Roman"/>
          <w:sz w:val="24"/>
          <w:szCs w:val="24"/>
        </w:rPr>
        <w:t>different thicknesses.</w:t>
      </w:r>
    </w:p>
    <w:p w14:paraId="0C3FEBF0" w14:textId="77777777" w:rsidR="00AF77B9" w:rsidRPr="00A15317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D0DE9A" wp14:editId="33F89AFA">
            <wp:extent cx="5724525" cy="3028950"/>
            <wp:effectExtent l="0" t="0" r="9525" b="0"/>
            <wp:docPr id="10" name="图片 10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B0266" w14:textId="77777777" w:rsidR="00AF77B9" w:rsidRPr="00A15317" w:rsidRDefault="00AF77B9" w:rsidP="00AF77B9">
      <w:pPr>
        <w:pStyle w:val="Heading3"/>
        <w:ind w:leftChars="0" w:left="1200" w:hangingChars="500" w:hanging="1200"/>
        <w:rPr>
          <w:rFonts w:ascii="Times New Roman" w:hAnsi="Times New Roman" w:cs="Times New Roman"/>
          <w:sz w:val="24"/>
          <w:szCs w:val="24"/>
          <w:lang w:eastAsia="zh-CN"/>
        </w:rPr>
      </w:pPr>
      <w:r w:rsidRPr="00A15317">
        <w:rPr>
          <w:rFonts w:ascii="Times New Roman" w:hAnsi="Times New Roman" w:cs="Times New Roman"/>
          <w:sz w:val="24"/>
          <w:szCs w:val="24"/>
          <w:lang w:eastAsia="zh-CN"/>
        </w:rPr>
        <w:t>Fig. S4.</w:t>
      </w:r>
    </w:p>
    <w:p w14:paraId="57A7BCF9" w14:textId="77777777" w:rsidR="00AF77B9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Consensus clustering analysis based on 6 DEGs of m6A clusters. (A) </w:t>
      </w:r>
      <w:r w:rsidRPr="00A15317">
        <w:rPr>
          <w:rFonts w:ascii="Times New Roman" w:eastAsia="Malgun Gothic" w:hAnsi="Times New Roman" w:cs="Times New Roman"/>
          <w:sz w:val="24"/>
          <w:szCs w:val="24"/>
        </w:rPr>
        <w:t xml:space="preserve">PCA of the transcriptome profiles of three </w:t>
      </w:r>
      <w:proofErr w:type="spellStart"/>
      <w:r w:rsidRPr="00A15317">
        <w:rPr>
          <w:rFonts w:ascii="Times New Roman" w:eastAsia="Malgun Gothic" w:hAnsi="Times New Roman" w:cs="Times New Roman"/>
          <w:sz w:val="24"/>
          <w:szCs w:val="24"/>
        </w:rPr>
        <w:t>geneClusters</w:t>
      </w:r>
      <w:proofErr w:type="spellEnd"/>
      <w:r w:rsidRPr="00A15317">
        <w:rPr>
          <w:rFonts w:ascii="Times New Roman" w:eastAsia="Malgun Gothic" w:hAnsi="Times New Roman" w:cs="Times New Roman"/>
          <w:sz w:val="24"/>
          <w:szCs w:val="24"/>
        </w:rPr>
        <w:t>, showing a</w:t>
      </w:r>
      <w:r w:rsidRPr="00A153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sz w:val="24"/>
          <w:szCs w:val="24"/>
        </w:rPr>
        <w:t>marked</w:t>
      </w:r>
      <w:r w:rsidRPr="00A15317">
        <w:rPr>
          <w:rFonts w:ascii="Times New Roman" w:eastAsia="Malgun Gothic" w:hAnsi="Times New Roman" w:cs="Times New Roman"/>
          <w:sz w:val="24"/>
          <w:szCs w:val="24"/>
        </w:rPr>
        <w:t xml:space="preserve"> difference in the transcriptome between different m6Aclusers.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(E) </w:t>
      </w:r>
      <w:r>
        <w:rPr>
          <w:rFonts w:ascii="Times New Roman" w:eastAsia="SimSun" w:hAnsi="Times New Roman" w:cs="Times New Roman"/>
          <w:sz w:val="24"/>
          <w:szCs w:val="24"/>
        </w:rPr>
        <w:t>A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bundance of each immune cell infiltration among three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geneClusters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in the boxplot. The median ± interquartile range of values is shown in the graph. ns P &gt; 0.05; * P &lt; 0.05; ** P &lt; 0.01; ***P &lt; 0.001. (C) Heatmap of KEGG enrichment analysis showing the activation states of biological pathways in distinct </w:t>
      </w:r>
      <w:proofErr w:type="spellStart"/>
      <w:r w:rsidRPr="00A15317">
        <w:rPr>
          <w:rFonts w:ascii="Times New Roman" w:eastAsia="SimSun" w:hAnsi="Times New Roman" w:cs="Times New Roman"/>
          <w:sz w:val="24"/>
          <w:szCs w:val="24"/>
        </w:rPr>
        <w:t>geneClusters</w:t>
      </w:r>
      <w:proofErr w:type="spellEnd"/>
      <w:r w:rsidRPr="00A15317">
        <w:rPr>
          <w:rFonts w:ascii="Times New Roman" w:eastAsia="SimSun" w:hAnsi="Times New Roman" w:cs="Times New Roman"/>
          <w:sz w:val="24"/>
          <w:szCs w:val="24"/>
        </w:rPr>
        <w:t>. Red represents activation, and blue represents inhibition.</w:t>
      </w:r>
    </w:p>
    <w:p w14:paraId="590985F4" w14:textId="77777777" w:rsidR="00AF77B9" w:rsidRPr="00A15317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635E4B46" wp14:editId="337AB032">
            <wp:extent cx="5724525" cy="3190875"/>
            <wp:effectExtent l="0" t="0" r="9525" b="9525"/>
            <wp:docPr id="11" name="图片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4D840" w14:textId="77777777" w:rsidR="00AF77B9" w:rsidRPr="00A15317" w:rsidRDefault="00AF77B9" w:rsidP="00AF77B9">
      <w:pPr>
        <w:pStyle w:val="Heading3"/>
        <w:ind w:leftChars="0" w:left="1200" w:hangingChars="500" w:hanging="1200"/>
        <w:rPr>
          <w:rFonts w:ascii="Times New Roman" w:hAnsi="Times New Roman" w:cs="Times New Roman"/>
          <w:sz w:val="24"/>
          <w:szCs w:val="24"/>
          <w:lang w:eastAsia="zh-CN"/>
        </w:rPr>
      </w:pPr>
      <w:r w:rsidRPr="00A15317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Fig. S5.</w:t>
      </w:r>
    </w:p>
    <w:p w14:paraId="00C8FDB3" w14:textId="77777777" w:rsidR="00AF77B9" w:rsidRPr="00300420" w:rsidRDefault="00AF77B9" w:rsidP="00AF77B9">
      <w:pPr>
        <w:rPr>
          <w:rFonts w:ascii="Times New Roman" w:eastAsia="SimSun" w:hAnsi="Times New Roman" w:cs="Times New Roman"/>
          <w:sz w:val="24"/>
          <w:szCs w:val="24"/>
        </w:rPr>
      </w:pP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Characteristics of m6Ascore status in TCGA-PRAD tumor subtypes. (A) Survival analysis of different m6Ascore groups </w:t>
      </w:r>
      <w:r>
        <w:rPr>
          <w:rFonts w:ascii="Times New Roman" w:eastAsia="SimSun" w:hAnsi="Times New Roman" w:cs="Times New Roman"/>
          <w:sz w:val="24"/>
          <w:szCs w:val="24"/>
        </w:rPr>
        <w:t>among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TRAD patients with GS 6 (left) and GS 7 (right). (B) Survival analysis of different m6Ascore groups </w:t>
      </w:r>
      <w:r>
        <w:rPr>
          <w:rFonts w:ascii="Times New Roman" w:eastAsia="SimSun" w:hAnsi="Times New Roman" w:cs="Times New Roman"/>
          <w:sz w:val="24"/>
          <w:szCs w:val="24"/>
        </w:rPr>
        <w:t>among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TRAD patients with pT2 (left) and pT4 (right) disease. (C) Violin plot of IPS scores </w:t>
      </w:r>
      <w:r>
        <w:rPr>
          <w:rFonts w:ascii="Times New Roman" w:eastAsia="SimSun" w:hAnsi="Times New Roman" w:cs="Times New Roman"/>
          <w:sz w:val="24"/>
          <w:szCs w:val="24"/>
        </w:rPr>
        <w:t>among</w:t>
      </w:r>
      <w:r w:rsidRPr="00A15317">
        <w:rPr>
          <w:rFonts w:ascii="Times New Roman" w:eastAsia="SimSun" w:hAnsi="Times New Roman" w:cs="Times New Roman"/>
          <w:sz w:val="24"/>
          <w:szCs w:val="24"/>
        </w:rPr>
        <w:t xml:space="preserve"> CTLA4-negative and PD1-positive (left), CTLA4-positive and PD1-negative (middle), CTLA4-positive and PD1-positive (right) m6A core groups. The P value of the Wilcoxon test is shown in box plots.</w:t>
      </w:r>
    </w:p>
    <w:p w14:paraId="45BF3F5A" w14:textId="77777777" w:rsidR="00AF77B9" w:rsidRDefault="00AF77B9"/>
    <w:sectPr w:rsidR="00AF77B9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7683000"/>
      <w:docPartObj>
        <w:docPartGallery w:val="Page Numbers (Bottom of Page)"/>
        <w:docPartUnique/>
      </w:docPartObj>
    </w:sdtPr>
    <w:sdtEndPr/>
    <w:sdtContent>
      <w:p w14:paraId="04C639FF" w14:textId="77777777" w:rsidR="00321203" w:rsidRPr="0068092C" w:rsidRDefault="00AF77B9">
        <w:pPr>
          <w:pStyle w:val="Footer"/>
          <w:jc w:val="center"/>
        </w:pPr>
        <w:r w:rsidRPr="0068092C">
          <w:fldChar w:fldCharType="begin"/>
        </w:r>
        <w:r w:rsidRPr="0068092C">
          <w:instrText>PAGE   \* MERGEFORMAT</w:instrText>
        </w:r>
        <w:r w:rsidRPr="0068092C">
          <w:fldChar w:fldCharType="separate"/>
        </w:r>
        <w:r w:rsidRPr="0068092C">
          <w:rPr>
            <w:noProof/>
          </w:rPr>
          <w:t>12</w:t>
        </w:r>
        <w:r w:rsidRPr="0068092C">
          <w:fldChar w:fldCharType="end"/>
        </w:r>
      </w:p>
    </w:sdtContent>
  </w:sdt>
  <w:p w14:paraId="43AB9838" w14:textId="77777777" w:rsidR="00321203" w:rsidRPr="0068092C" w:rsidRDefault="00AF77B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7B9"/>
    <w:rsid w:val="00AF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92E83"/>
  <w15:chartTrackingRefBased/>
  <w15:docId w15:val="{C8BC3D98-BDE3-46C6-8BDA-D21785BE7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7B9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77B9"/>
    <w:pPr>
      <w:keepNext/>
      <w:widowControl/>
      <w:wordWrap/>
      <w:autoSpaceDE/>
      <w:autoSpaceDN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F77B9"/>
    <w:rPr>
      <w:rFonts w:asciiTheme="majorHAnsi" w:eastAsiaTheme="majorEastAsia" w:hAnsiTheme="majorHAnsi" w:cstheme="majorBidi"/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AF77B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F77B9"/>
    <w:rPr>
      <w:rFonts w:eastAsiaTheme="minorEastAsia"/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481</Words>
  <Characters>2745</Characters>
  <Application>Microsoft Office Word</Application>
  <DocSecurity>0</DocSecurity>
  <Lines>22</Lines>
  <Paragraphs>6</Paragraphs>
  <ScaleCrop>false</ScaleCrop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2021-10-18T21:09:00Z</dcterms:created>
  <dcterms:modified xsi:type="dcterms:W3CDTF">2021-10-18T21:09:00Z</dcterms:modified>
</cp:coreProperties>
</file>