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cs="Times New Roman" w:eastAsia="Times New Roman"/>
          <w:b/>
          <w:sz w:val="32"/>
        </w:rPr>
        <w:t>Supplementary File 2</w:t>
      </w:r>
    </w:p>
    <w:p>
      <w:pPr>
        <w:jc w:val="center"/>
      </w:pPr>
      <w:r>
        <w:rPr>
          <w:rFonts w:ascii="Times New Roman" w:hAnsi="Times New Roman" w:cs="Times New Roman" w:eastAsia="Times New Roman"/>
          <w:b/>
          <w:sz w:val="30"/>
        </w:rPr>
        <w:t>Coding, Annotation, and Validation Materials: Appendices E–G</w:t>
      </w:r>
    </w:p>
    <w:p>
      <w:pPr>
        <w:jc w:val="center"/>
      </w:pPr>
      <w:r>
        <w:rPr>
          <w:rFonts w:ascii="Times New Roman" w:hAnsi="Times New Roman" w:cs="Times New Roman" w:eastAsia="Times New Roman"/>
          <w:i/>
          <w:sz w:val="26"/>
        </w:rPr>
        <w:t>L1 Typological Distance and Arabic L2 Writing Development in a Multinational Saudi University Program: A Cross-Level Learner-Corpus Study</w:t>
      </w:r>
    </w:p>
    <w:p>
      <w:pPr>
        <w:pStyle w:val="NoteText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Submission note. This blinded supplementary file operationalizes the typological-distance rubric, corpus annotation structure, outcome coding, and validation evidence referenced in the manuscript.</w:t>
      </w:r>
    </w:p>
    <w:p>
      <w:r>
        <w:rPr>
          <w:rFonts w:ascii="Times New Roman" w:hAnsi="Times New Roman" w:cs="Times New Roman" w:eastAsia="Times New Roman"/>
          <w:b/>
          <w:i w:val="0"/>
          <w:sz w:val="24"/>
        </w:rPr>
        <w:t>Contents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Appendix E. Typological-Distance Coding Rubric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Appendix F. Corpus Annotation Manual and Outcome Coding Matrix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Appendix G. Instrument Validation and Reliability Summary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cs="Times New Roman" w:eastAsia="Times New Roman"/>
          <w:b/>
          <w:sz w:val="28"/>
        </w:rPr>
        <w:t>Appendix E. Typological-Distance Coding Rubric</w:t>
      </w:r>
    </w:p>
    <w:p>
      <w:pPr>
        <w:ind w:firstLine="720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The composite typological-distance index is researcher-coded from the verified L1 profile and relevant linguistic descriptions. Higher scores indicate greater distance from Arabic on the specified dimension. The rubric supports both a composite index and dimension-specific sensitivity analyses.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</w:tblPr>
      <w:tblGrid>
        <w:gridCol w:w="3240"/>
        <w:gridCol w:w="3240"/>
        <w:gridCol w:w="3240"/>
        <w:gridCol w:w="3240"/>
      </w:tblGrid>
      <w:tr>
        <w:trPr>
          <w:tblHeader w:val="true"/>
        </w:trP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Dimension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0 = Relatively closer to Arabic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1 = Partially different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2 = Relatively more distant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Script relation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Arabic or Arabic-based right-to-left script with prior literacy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Alphabetic script with partial right-to-left or Arabic-script exposure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Non-Arabic, non-right-to-left, or logographic script with no prior Arabic-script literacy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Morphological profile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Rich inflectional or templatic/fusional morphology comparable in functional load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Moderate inflection or agglutination with partial comparability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Largely isolating or structurally distant morphological encoding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Grammatical gender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Gender or noun-class distinctions broadly comparable to Arabic targets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Limited or partially comparable gender/noun-class distinctions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No grammatical gender system relevant to Arabic agreement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Agreement system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Person/number/gender agreement system broadly available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Partial agreement system with reduced feature marking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Minimal or absent agreement morphology of the relevant type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Dominant constituent order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Flexible or partly Arabic-compatible clause-order options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Predominantly SVO or mixed profile with some alignment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Dominant ordering strongly divergent from Arabic target patterns</w:t>
            </w:r>
          </w:p>
        </w:tc>
      </w:tr>
      <w:tr>
        <w:tc>
          <w:tcPr>
            <w:tcW w:type="dxa" w:w="230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Phonological–orthographic contrasts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Many Arabic-relevant contrasts represented in prior language literacy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Some relevant contrasts absent or encoded differently</w:t>
            </w:r>
          </w:p>
        </w:tc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Multiple relevant contrasts absent and orthographic mapping highly unfamiliar</w:t>
            </w:r>
          </w:p>
        </w:tc>
      </w:tr>
    </w:tbl>
    <w:p>
      <w:pPr>
        <w:pStyle w:val="NoteText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Scoring note. The dimension scores may be summed to generate a composite typological-distance index or retained separately for theory-driven component analyses. Small L1 groups should be interpreted cautiously and may be incorporated through continuous distance measures rather than standalone group comparisons.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cs="Times New Roman" w:eastAsia="Times New Roman"/>
          <w:b/>
          <w:sz w:val="28"/>
        </w:rPr>
        <w:t>Appendix F. Corpus Annotation Manual and Outcome Coding Matrix</w:t>
      </w:r>
    </w:p>
    <w:p>
      <w:pPr>
        <w:pStyle w:val="Heading2"/>
      </w:pPr>
      <w:r>
        <w:rPr>
          <w:rFonts w:ascii="Times New Roman" w:hAnsi="Times New Roman" w:cs="Times New Roman" w:eastAsia="Times New Roman"/>
          <w:b/>
          <w:sz w:val="26"/>
        </w:rPr>
        <w:t>F1. Corpus Architecture and Transcription Layers</w:t>
      </w:r>
    </w:p>
    <w:p>
      <w:pPr>
        <w:ind w:firstLine="720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Each participant contributed two writing texts: a controlled image-based description and a free-composition text. Handwritten responses were digitized through two complementary layers: (a) a diplomatic transcription preserving learner spelling, spacing, and non-target forms as closely as possible; and (b) a normalized reference layer used only for selected lexical and phraseological analyses. Participant identifiers were replaced with study codes before coding.</w:t>
      </w:r>
    </w:p>
    <w:p>
      <w:pPr>
        <w:pStyle w:val="Heading2"/>
      </w:pPr>
      <w:r>
        <w:rPr>
          <w:rFonts w:ascii="Times New Roman" w:hAnsi="Times New Roman" w:cs="Times New Roman" w:eastAsia="Times New Roman"/>
          <w:b/>
          <w:sz w:val="26"/>
        </w:rPr>
        <w:t>F2. Coding Units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Text-level unit: each complete learner response within Task 1 or Task 2.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Token-level unit: written word forms used for normalized word counts and error-density denominators.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Error-event unit: a single coded instance of orthographic or morphosyntactic deviation.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Clause/T-unit unit: used to derive clauses-per-T-unit in the free-composition task.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Phraseological unit: recurrent three- or four-word bundle candidate interpreted in relation to task type.</w:t>
      </w:r>
    </w:p>
    <w:p>
      <w:r>
        <w:br w:type="page"/>
      </w:r>
    </w:p>
    <w:p>
      <w:pPr>
        <w:pStyle w:val="Heading2"/>
      </w:pPr>
      <w:r>
        <w:rPr>
          <w:rFonts w:ascii="Times New Roman" w:hAnsi="Times New Roman" w:cs="Times New Roman" w:eastAsia="Times New Roman"/>
          <w:b/>
          <w:sz w:val="26"/>
        </w:rPr>
        <w:t>F3. Corpus Annotation and Outcome Coding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</w:tblPr>
      <w:tblGrid>
        <w:gridCol w:w="4320"/>
        <w:gridCol w:w="4320"/>
        <w:gridCol w:w="4320"/>
      </w:tblGrid>
      <w:tr>
        <w:trPr>
          <w:tblHeader w:val="true"/>
        </w:trPr>
        <w:tc>
          <w:tcPr>
            <w:tcW w:type="dxa" w:w="25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Analytic layer</w:t>
            </w:r>
          </w:p>
        </w:tc>
        <w:tc>
          <w:tcPr>
            <w:tcW w:type="dxa" w:w="590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Illustrative coding categories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Primary outputs</w:t>
            </w:r>
          </w:p>
        </w:tc>
      </w:tr>
      <w:tr>
        <w:tc>
          <w:tcPr>
            <w:tcW w:type="dxa" w:w="25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Orthographic</w:t>
            </w:r>
          </w:p>
        </w:tc>
        <w:tc>
          <w:tcPr>
            <w:tcW w:type="dxa" w:w="590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Letter omission/substitution, dotting, hamza, spacing, script-direction issues where applicable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Orthographic-error counts and normalized accuracy indices</w:t>
            </w:r>
          </w:p>
        </w:tc>
      </w:tr>
      <w:tr>
        <w:tc>
          <w:tcPr>
            <w:tcW w:type="dxa" w:w="25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Morphosyntactic</w:t>
            </w:r>
          </w:p>
        </w:tc>
        <w:tc>
          <w:tcPr>
            <w:tcW w:type="dxa" w:w="590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Gender/number agreement, subject–verb agreement, definiteness, verbal morphology, word-order deviations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Error density per 100 words or per clause-based unit</w:t>
            </w:r>
          </w:p>
        </w:tc>
      </w:tr>
      <w:tr>
        <w:tc>
          <w:tcPr>
            <w:tcW w:type="dxa" w:w="25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Lexical and phraseological</w:t>
            </w:r>
          </w:p>
        </w:tc>
        <w:tc>
          <w:tcPr>
            <w:tcW w:type="dxa" w:w="590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Lexical diversity, key lexical items, recurrent three- and four-word bundles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Length-sensitive lexical indices and normalized bundle frequencies</w:t>
            </w:r>
          </w:p>
        </w:tc>
      </w:tr>
      <w:tr>
        <w:tc>
          <w:tcPr>
            <w:tcW w:type="dxa" w:w="25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Constructional</w:t>
            </w:r>
          </w:p>
        </w:tc>
        <w:tc>
          <w:tcPr>
            <w:tcW w:type="dxa" w:w="590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Noun–adjective structures, relative clauses, prepositional sequences, conjunctional patterns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Constructional repertoire and developmental distribution</w:t>
            </w:r>
          </w:p>
        </w:tc>
      </w:tr>
      <w:tr>
        <w:tc>
          <w:tcPr>
            <w:tcW w:type="dxa" w:w="25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Discourse</w:t>
            </w:r>
          </w:p>
        </w:tc>
        <w:tc>
          <w:tcPr>
            <w:tcW w:type="dxa" w:w="590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Connector use, paragraph unity, reference tracking, cohesion, coherence-related organization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Discourse-profile scores and qualitative error patterns</w:t>
            </w:r>
          </w:p>
        </w:tc>
      </w:tr>
      <w:tr>
        <w:tc>
          <w:tcPr>
            <w:tcW w:type="dxa" w:w="25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Overall quality</w:t>
            </w:r>
          </w:p>
        </w:tc>
        <w:tc>
          <w:tcPr>
            <w:tcW w:type="dxa" w:w="590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Rubric-based holistic or analytic rating where employed</w:t>
            </w:r>
          </w:p>
        </w:tc>
        <w:tc>
          <w:tcPr>
            <w:tcW w:type="dxa" w:w="4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Global writing-quality score for convergent interpretation</w:t>
            </w:r>
          </w:p>
        </w:tc>
      </w:tr>
    </w:tbl>
    <w:p>
      <w:pPr>
        <w:pStyle w:val="Heading2"/>
      </w:pPr>
      <w:r>
        <w:rPr>
          <w:rFonts w:ascii="Times New Roman" w:hAnsi="Times New Roman" w:cs="Times New Roman" w:eastAsia="Times New Roman"/>
          <w:b/>
          <w:sz w:val="26"/>
        </w:rPr>
        <w:t>F4. Operational Outcome Definitions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</w:tblPr>
      <w:tblGrid>
        <w:gridCol w:w="4320"/>
        <w:gridCol w:w="4320"/>
        <w:gridCol w:w="4320"/>
      </w:tblGrid>
      <w:tr>
        <w:trPr>
          <w:tblHeader w:val="true"/>
        </w:trP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Outcome</w:t>
            </w:r>
          </w:p>
        </w:tc>
        <w:tc>
          <w:tcPr>
            <w:tcW w:type="dxa" w:w="720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Operational definition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Reported task source</w:t>
            </w:r>
          </w:p>
        </w:tc>
      </w:tr>
      <w:t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Orthographic error density (OE)</w:t>
            </w:r>
          </w:p>
        </w:tc>
        <w:tc>
          <w:tcPr>
            <w:tcW w:type="dxa" w:w="720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Number of coded orthographic error events divided by total words, multiplied by 100.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Controlled writing task</w:t>
            </w:r>
          </w:p>
        </w:tc>
      </w:tr>
      <w:t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Morphosyntactic error density (ME)</w:t>
            </w:r>
          </w:p>
        </w:tc>
        <w:tc>
          <w:tcPr>
            <w:tcW w:type="dxa" w:w="720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Number of coded morphosyntactic error events divided by total words, multiplied by 100; clause-based alternatives may be retained for sensitivity checks.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Controlled writing task</w:t>
            </w:r>
          </w:p>
        </w:tc>
      </w:tr>
      <w:t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Lexical-bundle use (LB)</w:t>
            </w:r>
          </w:p>
        </w:tc>
        <w:tc>
          <w:tcPr>
            <w:tcW w:type="dxa" w:w="720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Count of recurrent three- or four-word sequences identified in the free-composition task and interpreted with reference to task demands.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Free-composition task</w:t>
            </w:r>
          </w:p>
        </w:tc>
      </w:tr>
      <w:t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Syntactic complexity (C/T)</w:t>
            </w:r>
          </w:p>
        </w:tc>
        <w:tc>
          <w:tcPr>
            <w:tcW w:type="dxa" w:w="720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Number of clauses divided by T-units in the free-composition task.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Free-composition task</w:t>
            </w:r>
          </w:p>
        </w:tc>
      </w:tr>
      <w:tr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Qualitative transfer-sensitive profiles</w:t>
            </w:r>
          </w:p>
        </w:tc>
        <w:tc>
          <w:tcPr>
            <w:tcW w:type="dxa" w:w="720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Pattern-based interpretation of recurring errors or target-like constructions in relation to typological-distance dimensions.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Diplomatic transcription and coded excerpts</w:t>
            </w:r>
          </w:p>
        </w:tc>
      </w:tr>
    </w:tbl>
    <w:p>
      <w:pPr>
        <w:pStyle w:val="Heading2"/>
      </w:pPr>
      <w:r>
        <w:rPr>
          <w:rFonts w:ascii="Times New Roman" w:hAnsi="Times New Roman" w:cs="Times New Roman" w:eastAsia="Times New Roman"/>
          <w:b/>
          <w:sz w:val="26"/>
        </w:rPr>
        <w:t>F5. Quality-Control Protocol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The annotation scheme was piloted and refined before full coding.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Twenty percent of learner texts were double-coded to assess inter-rater reliability.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Cohen’s kappa for corpus annotation reached .89.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Disagreements were resolved through discussion and rule refinement before the final coding pass.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Diplomatic and normalized transcription layers were preserved separately so that orthographic inaccuracies were not erased during digitization.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cs="Times New Roman" w:eastAsia="Times New Roman"/>
          <w:b/>
          <w:sz w:val="28"/>
        </w:rPr>
        <w:t>Appendix G. Instrument Validation and Reliability Summary</w:t>
      </w:r>
    </w:p>
    <w:p>
      <w:pPr>
        <w:ind w:firstLine="720"/>
      </w:pPr>
      <w:r>
        <w:rPr>
          <w:rFonts w:ascii="Times New Roman" w:hAnsi="Times New Roman" w:cs="Times New Roman" w:eastAsia="Times New Roman"/>
          <w:b w:val="0"/>
          <w:i w:val="0"/>
          <w:sz w:val="24"/>
        </w:rPr>
        <w:t>Pilot-stage evidence was used to refine the data-collection package and coding procedures. The pilot sample was not merged with the 27-learner analytic corpus reported in the manuscript. The indices below document instrument adequacy rather than substantive study outcomes.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</w:tblPr>
      <w:tblGrid>
        <w:gridCol w:w="3240"/>
        <w:gridCol w:w="3240"/>
        <w:gridCol w:w="3240"/>
        <w:gridCol w:w="3240"/>
      </w:tblGrid>
      <w:tr>
        <w:trPr>
          <w:tblHeader w:val="true"/>
        </w:trPr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Measure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Statistic</w:t>
            </w:r>
          </w:p>
        </w:tc>
        <w:tc>
          <w:tcPr>
            <w:tcW w:type="dxa" w:w="144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Value</w:t>
            </w:r>
          </w:p>
        </w:tc>
        <w:tc>
          <w:tcPr>
            <w:tcW w:type="dxa" w:w="48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>Interpretation</w:t>
            </w:r>
          </w:p>
        </w:tc>
      </w:tr>
      <w:tr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Multilingual-profile questionnaire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Cronbach’s alpha</w:t>
            </w:r>
          </w:p>
        </w:tc>
        <w:tc>
          <w:tcPr>
            <w:tcW w:type="dxa" w:w="144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.88</w:t>
            </w:r>
          </w:p>
        </w:tc>
        <w:tc>
          <w:tcPr>
            <w:tcW w:type="dxa" w:w="48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High internal consistency for the structured profile items</w:t>
            </w:r>
          </w:p>
        </w:tc>
      </w:tr>
      <w:tr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Expert content review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Lawshe’s CVR</w:t>
            </w:r>
          </w:p>
        </w:tc>
        <w:tc>
          <w:tcPr>
            <w:tcW w:type="dxa" w:w="144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.92</w:t>
            </w:r>
          </w:p>
        </w:tc>
        <w:tc>
          <w:tcPr>
            <w:tcW w:type="dxa" w:w="48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Strong content-validity agreement among nine faculty reviewers</w:t>
            </w:r>
          </w:p>
        </w:tc>
      </w:tr>
      <w:tr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Structured instrument indicators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Standardized factor loadings</w:t>
            </w:r>
          </w:p>
        </w:tc>
        <w:tc>
          <w:tcPr>
            <w:tcW w:type="dxa" w:w="144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.76–.84</w:t>
            </w:r>
          </w:p>
        </w:tc>
        <w:tc>
          <w:tcPr>
            <w:tcW w:type="dxa" w:w="48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Strong loading range in the confirmatory instrument check</w:t>
            </w:r>
          </w:p>
        </w:tc>
      </w:tr>
      <w:tr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Controlled grammar-sensitive checklist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KR-20</w:t>
            </w:r>
          </w:p>
        </w:tc>
        <w:tc>
          <w:tcPr>
            <w:tcW w:type="dxa" w:w="144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.84</w:t>
            </w:r>
          </w:p>
        </w:tc>
        <w:tc>
          <w:tcPr>
            <w:tcW w:type="dxa" w:w="48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High reliability for binary coded target-item decisions</w:t>
            </w:r>
          </w:p>
        </w:tc>
      </w:tr>
      <w:tr>
        <w:tc>
          <w:tcPr>
            <w:tcW w:type="dxa" w:w="367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Corpus annotation</w:t>
            </w:r>
          </w:p>
        </w:tc>
        <w:tc>
          <w:tcPr>
            <w:tcW w:type="dxa" w:w="31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Cohen’s kappa</w:t>
            </w:r>
          </w:p>
        </w:tc>
        <w:tc>
          <w:tcPr>
            <w:tcW w:type="dxa" w:w="144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.89</w:t>
            </w:r>
          </w:p>
        </w:tc>
        <w:tc>
          <w:tcPr>
            <w:tcW w:type="dxa" w:w="48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18"/>
              </w:rPr>
              <w:t>Near-perfect inter-rater agreement for double-coded texts</w:t>
            </w:r>
          </w:p>
        </w:tc>
      </w:tr>
    </w:tbl>
    <w:p>
      <w:pPr>
        <w:pStyle w:val="Heading2"/>
      </w:pPr>
      <w:r>
        <w:rPr>
          <w:rFonts w:ascii="Times New Roman" w:hAnsi="Times New Roman" w:cs="Times New Roman" w:eastAsia="Times New Roman"/>
          <w:b/>
          <w:sz w:val="26"/>
        </w:rPr>
        <w:t>Appendix G1. Validation Interpretation Notes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Content validity was established through expert review of prompts, questionnaire items, and coding alignment.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Internal-consistency evidence pertains to structured questionnaire components, not to open-ended learner writing responses.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KR-20 pertains to binary coded target-item decisions in the controlled grammar-sensitive checklist.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Annotation agreement reflects the reliability of the coding process for corpus-based outcome measures.</w:t>
      </w:r>
    </w:p>
    <w:p>
      <w:pPr>
        <w:pStyle w:val="ListBullet"/>
      </w:pPr>
      <w:r>
        <w:rPr>
          <w:rFonts w:ascii="Times New Roman" w:hAnsi="Times New Roman" w:cs="Times New Roman" w:eastAsia="Times New Roman"/>
          <w:sz w:val="24"/>
        </w:rPr>
        <w:t>These indices support the methodological adequacy of the supplementary materials used in the study.</w:t>
      </w:r>
    </w:p>
    <w:sectPr w:rsidR="00FC693F" w:rsidRPr="0006063C" w:rsidSect="000346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76" w:lineRule="auto" w:before="20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eText">
    <w:name w:val="NoteText"/>
    <w:pPr>
      <w:spacing w:line="276" w:lineRule="auto" w:after="80"/>
    </w:pPr>
    <w:rPr>
      <w:rFonts w:ascii="Times New Roman" w:hAnsi="Times New Roman"/>
      <w:i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cp:lastModifiedBy/>
  <dcterms:created xsi:type="dcterms:W3CDTF">2013-12-23T23:15:00Z</dcterms:created>
  <dcterms:modified xsi:type="dcterms:W3CDTF">2013-12-23T23:15:00Z</dcterms:modified>
  <cp:category/>
</cp:coreProperties>
</file>