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DF6607">
      <w:pPr>
        <w:numPr>
          <w:ilvl w:val="0"/>
          <w:numId w:val="0"/>
        </w:numPr>
        <w:spacing w:line="360" w:lineRule="auto"/>
        <w:jc w:val="left"/>
        <w:rPr>
          <w:rFonts w:hint="default" w:ascii="Times New Roman" w:hAnsi="Times New Roman" w:cs="Times New Roman"/>
          <w:sz w:val="24"/>
          <w:szCs w:val="24"/>
          <w:lang w:val="en-US" w:eastAsia="zh-CN"/>
        </w:rPr>
      </w:pPr>
      <w:bookmarkStart w:id="0" w:name="_GoBack"/>
      <w:r>
        <w:rPr>
          <w:rFonts w:hint="default" w:ascii="Times New Roman" w:hAnsi="Times New Roman" w:cs="Times New Roman"/>
          <w:sz w:val="24"/>
          <w:szCs w:val="24"/>
        </w:rPr>
        <w:t>Supplementary Figure</w:t>
      </w:r>
      <w:bookmarkEnd w:id="0"/>
      <w:r>
        <w:rPr>
          <w:rFonts w:hint="default" w:ascii="Times New Roman" w:hAnsi="Times New Roman" w:cs="Times New Roman"/>
          <w:sz w:val="24"/>
          <w:szCs w:val="24"/>
        </w:rPr>
        <w:t xml:space="preserve"> 1</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Document-level citation impact and reference burst dynamics.</w:t>
      </w:r>
    </w:p>
    <w:p w14:paraId="23FC45C2">
      <w:pPr>
        <w:numPr>
          <w:ilvl w:val="0"/>
          <w:numId w:val="1"/>
        </w:numPr>
        <w:spacing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Most globally cited documents ranked by total citations, reflecting the broad academic influence of landmark studies across artificial intelligence, medical robotics, augmented reality, advanced materials, and clinical robotic surgery. (B) Most locally cited documents ranked by local citation counts, identifying the field-specific intellectual backbone related to surgical workflow analysis, computer vision, medical image analysis, robotic skill assessment, and computer-assisted intervention. (C) Reference burst detection from 2010 to 2026, showing publications with strong and time-specific citation bursts.</w:t>
      </w:r>
    </w:p>
    <w:p w14:paraId="080E1AB6">
      <w:pPr>
        <w:bidi w:val="0"/>
        <w:spacing w:line="360" w:lineRule="auto"/>
        <w:jc w:val="left"/>
        <w:rPr>
          <w:rFonts w:hint="default" w:ascii="Times New Roman" w:hAnsi="Times New Roman" w:cs="Times New Roman"/>
          <w:sz w:val="24"/>
          <w:szCs w:val="24"/>
        </w:rPr>
      </w:pPr>
    </w:p>
    <w:p w14:paraId="384AAFE0">
      <w:pPr>
        <w:pStyle w:val="2"/>
        <w:keepNext w:val="0"/>
        <w:keepLines w:val="0"/>
        <w:widowControl/>
        <w:suppressLineNumbers w:val="0"/>
        <w:spacing w:line="360" w:lineRule="auto"/>
        <w:jc w:val="left"/>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5260975" cy="6803390"/>
            <wp:effectExtent l="0" t="0" r="15875" b="16510"/>
            <wp:docPr id="7" name="图片 7" descr="document_citation_analysis_composite_A-C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ument_citation_analysis_composite_A-C_300dpi"/>
                    <pic:cNvPicPr>
                      <a:picLocks noChangeAspect="1"/>
                    </pic:cNvPicPr>
                  </pic:nvPicPr>
                  <pic:blipFill>
                    <a:blip r:embed="rId4"/>
                    <a:stretch>
                      <a:fillRect/>
                    </a:stretch>
                  </pic:blipFill>
                  <pic:spPr>
                    <a:xfrm>
                      <a:off x="0" y="0"/>
                      <a:ext cx="5260975" cy="6803390"/>
                    </a:xfrm>
                    <a:prstGeom prst="rect">
                      <a:avLst/>
                    </a:prstGeom>
                  </pic:spPr>
                </pic:pic>
              </a:graphicData>
            </a:graphic>
          </wp:inline>
        </w:drawing>
      </w:r>
    </w:p>
    <w:p w14:paraId="5C3B9CC2">
      <w:pPr>
        <w:spacing w:line="360" w:lineRule="auto"/>
        <w:rPr>
          <w:sz w:val="24"/>
          <w:szCs w:val="24"/>
        </w:rPr>
      </w:pPr>
    </w:p>
    <w:p w14:paraId="2890E626">
      <w:pPr>
        <w:spacing w:line="360" w:lineRule="auto"/>
        <w:rPr>
          <w:sz w:val="24"/>
          <w:szCs w:val="24"/>
        </w:rPr>
      </w:pPr>
    </w:p>
    <w:p w14:paraId="1DCA44BB">
      <w:pPr>
        <w:numPr>
          <w:ilvl w:val="0"/>
          <w:numId w:val="0"/>
        </w:numPr>
        <w:spacing w:line="360" w:lineRule="auto"/>
        <w:jc w:val="left"/>
        <w:rPr>
          <w:rFonts w:hint="default" w:ascii="Times New Roman" w:hAnsi="Times New Roman" w:cs="Times New Roman"/>
          <w:sz w:val="24"/>
          <w:szCs w:val="24"/>
          <w:lang w:val="en-US" w:eastAsia="zh-CN"/>
        </w:rPr>
      </w:pPr>
    </w:p>
    <w:p w14:paraId="078AB50B">
      <w:pPr>
        <w:numPr>
          <w:ilvl w:val="0"/>
          <w:numId w:val="0"/>
        </w:numPr>
        <w:spacing w:line="360" w:lineRule="auto"/>
        <w:jc w:val="left"/>
        <w:rPr>
          <w:rFonts w:hint="default" w:ascii="Times New Roman" w:hAnsi="Times New Roman" w:cs="Times New Roman"/>
          <w:sz w:val="24"/>
          <w:szCs w:val="24"/>
          <w:lang w:val="en-US" w:eastAsia="zh-CN"/>
        </w:rPr>
      </w:pPr>
    </w:p>
    <w:p w14:paraId="4372650E">
      <w:pPr>
        <w:numPr>
          <w:ilvl w:val="0"/>
          <w:numId w:val="0"/>
        </w:numPr>
        <w:spacing w:line="360" w:lineRule="auto"/>
        <w:jc w:val="left"/>
        <w:rPr>
          <w:rFonts w:hint="default" w:ascii="Times New Roman" w:hAnsi="Times New Roman" w:cs="Times New Roman"/>
          <w:sz w:val="24"/>
          <w:szCs w:val="24"/>
          <w:lang w:val="en-US" w:eastAsia="zh-CN"/>
        </w:rPr>
      </w:pPr>
    </w:p>
    <w:p w14:paraId="3372D0A6">
      <w:pPr>
        <w:numPr>
          <w:ilvl w:val="0"/>
          <w:numId w:val="0"/>
        </w:numPr>
        <w:spacing w:line="360" w:lineRule="auto"/>
        <w:jc w:val="left"/>
        <w:rPr>
          <w:rFonts w:hint="default" w:ascii="Times New Roman" w:hAnsi="Times New Roman" w:cs="Times New Roman"/>
          <w:sz w:val="24"/>
          <w:szCs w:val="24"/>
          <w:lang w:val="en-US" w:eastAsia="zh-CN"/>
        </w:rPr>
      </w:pPr>
    </w:p>
    <w:p w14:paraId="16DCCF6D">
      <w:pPr>
        <w:numPr>
          <w:ilvl w:val="0"/>
          <w:numId w:val="0"/>
        </w:numPr>
        <w:spacing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Supplementary Figure </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 xml:space="preserve"> Keyword structure, temporal evolution, and burst dynamics of research themes.</w:t>
      </w:r>
    </w:p>
    <w:p w14:paraId="04772EF2">
      <w:pPr>
        <w:numPr>
          <w:ilvl w:val="0"/>
          <w:numId w:val="2"/>
        </w:numPr>
        <w:spacing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Most frequent keywords ranked by occurrence, showing the dominant terms in the field. (B) Treemap visualization of high-frequency keywords, illustrating the relative thematic weight and hierarchical distribution of major research concepts. (C) Ridgeline plot of keyword trends from 2010 to 2026, showing the temporal evolution of major keywords across the study period. (D) Trend-topic bar chart identifying frequently occurring and emerging research topics. (E) Keyword burst detection from 2010 to 2026; red segments indicate burst periods, whereas blue segments indicate non-burst intervals. (F) Word cloud visualization of frequently occurring terms, where larger font size indicates higher keyword frequency.</w:t>
      </w:r>
    </w:p>
    <w:p w14:paraId="1D67AA79">
      <w:pPr>
        <w:widowControl w:val="0"/>
        <w:numPr>
          <w:ilvl w:val="0"/>
          <w:numId w:val="0"/>
        </w:numPr>
        <w:spacing w:line="360" w:lineRule="auto"/>
        <w:jc w:val="left"/>
        <w:rPr>
          <w:rFonts w:hint="default" w:ascii="Times New Roman" w:hAnsi="Times New Roman" w:cs="Times New Roman"/>
          <w:sz w:val="24"/>
          <w:szCs w:val="24"/>
          <w:lang w:val="en-US" w:eastAsia="zh-CN"/>
        </w:rPr>
      </w:pPr>
    </w:p>
    <w:p w14:paraId="18277320">
      <w:pPr>
        <w:numPr>
          <w:ilvl w:val="0"/>
          <w:numId w:val="0"/>
        </w:numPr>
        <w:spacing w:line="360" w:lineRule="auto"/>
        <w:jc w:val="left"/>
        <w:rPr>
          <w:rFonts w:hint="default" w:ascii="Times New Roman" w:hAnsi="Times New Roman" w:cs="Times New Roman"/>
          <w:sz w:val="24"/>
          <w:szCs w:val="24"/>
          <w:lang w:val="en-US" w:eastAsia="zh-CN"/>
        </w:rPr>
      </w:pPr>
    </w:p>
    <w:p w14:paraId="43205EC8">
      <w:pPr>
        <w:numPr>
          <w:ilvl w:val="0"/>
          <w:numId w:val="0"/>
        </w:numPr>
        <w:spacing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8595" cy="3951605"/>
            <wp:effectExtent l="0" t="0" r="8255" b="10795"/>
            <wp:docPr id="8" name="图片 8" descr="ChatGPT Image 2026年5月16日 18_18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atGPT Image 2026年5月16日 18_18_41"/>
                    <pic:cNvPicPr>
                      <a:picLocks noChangeAspect="1"/>
                    </pic:cNvPicPr>
                  </pic:nvPicPr>
                  <pic:blipFill>
                    <a:blip r:embed="rId5"/>
                    <a:stretch>
                      <a:fillRect/>
                    </a:stretch>
                  </pic:blipFill>
                  <pic:spPr>
                    <a:xfrm>
                      <a:off x="0" y="0"/>
                      <a:ext cx="5268595" cy="3951605"/>
                    </a:xfrm>
                    <a:prstGeom prst="rect">
                      <a:avLst/>
                    </a:prstGeom>
                  </pic:spPr>
                </pic:pic>
              </a:graphicData>
            </a:graphic>
          </wp:inline>
        </w:drawing>
      </w:r>
    </w:p>
    <w:p w14:paraId="43A59408">
      <w:pPr>
        <w:numPr>
          <w:ilvl w:val="0"/>
          <w:numId w:val="0"/>
        </w:numPr>
        <w:spacing w:line="360" w:lineRule="auto"/>
        <w:jc w:val="left"/>
        <w:rPr>
          <w:rFonts w:hint="default" w:ascii="Times New Roman" w:hAnsi="Times New Roman" w:cs="Times New Roman"/>
          <w:sz w:val="24"/>
          <w:szCs w:val="24"/>
          <w:lang w:val="en-US" w:eastAsia="zh-CN"/>
        </w:rPr>
      </w:pPr>
    </w:p>
    <w:p w14:paraId="3FF03377">
      <w:pPr>
        <w:numPr>
          <w:ilvl w:val="0"/>
          <w:numId w:val="0"/>
        </w:numPr>
        <w:spacing w:line="360" w:lineRule="auto"/>
        <w:jc w:val="left"/>
        <w:rPr>
          <w:rFonts w:hint="default" w:ascii="Times New Roman" w:hAnsi="Times New Roman" w:cs="Times New Roman"/>
          <w:sz w:val="24"/>
          <w:szCs w:val="24"/>
          <w:lang w:val="en-US" w:eastAsia="zh-CN"/>
        </w:rPr>
      </w:pPr>
    </w:p>
    <w:p w14:paraId="63265C32">
      <w:pPr>
        <w:numPr>
          <w:ilvl w:val="0"/>
          <w:numId w:val="0"/>
        </w:numPr>
        <w:spacing w:line="360" w:lineRule="auto"/>
        <w:jc w:val="left"/>
        <w:rPr>
          <w:rFonts w:hint="default" w:ascii="Times New Roman" w:hAnsi="Times New Roman" w:cs="Times New Roman"/>
          <w:sz w:val="24"/>
          <w:szCs w:val="24"/>
          <w:lang w:val="en-US" w:eastAsia="zh-CN"/>
        </w:rPr>
      </w:pPr>
    </w:p>
    <w:p w14:paraId="42493270">
      <w:pPr>
        <w:numPr>
          <w:ilvl w:val="0"/>
          <w:numId w:val="0"/>
        </w:numPr>
        <w:spacing w:line="360" w:lineRule="auto"/>
        <w:jc w:val="left"/>
        <w:rPr>
          <w:rFonts w:hint="default" w:ascii="Times New Roman" w:hAnsi="Times New Roman" w:cs="Times New Roman"/>
          <w:sz w:val="24"/>
          <w:szCs w:val="24"/>
          <w:lang w:val="en-US" w:eastAsia="zh-CN"/>
        </w:rPr>
      </w:pPr>
    </w:p>
    <w:p w14:paraId="7A676B2C">
      <w:pPr>
        <w:numPr>
          <w:ilvl w:val="0"/>
          <w:numId w:val="0"/>
        </w:numPr>
        <w:spacing w:line="360" w:lineRule="auto"/>
        <w:jc w:val="left"/>
        <w:rPr>
          <w:rFonts w:hint="default" w:ascii="Times New Roman" w:hAnsi="Times New Roman" w:eastAsia="宋体" w:cs="Times New Roman"/>
          <w:b w:val="0"/>
          <w:bCs w:val="0"/>
          <w:sz w:val="24"/>
          <w:szCs w:val="24"/>
        </w:rPr>
      </w:pPr>
      <w:r>
        <w:rPr>
          <w:rFonts w:hint="default" w:ascii="Times New Roman" w:hAnsi="Times New Roman" w:cs="Times New Roman"/>
          <w:b w:val="0"/>
          <w:bCs w:val="0"/>
          <w:sz w:val="24"/>
          <w:szCs w:val="24"/>
          <w:lang w:val="en-US" w:eastAsia="zh-CN"/>
        </w:rPr>
        <w:t>Supplementary Figure 3</w:t>
      </w:r>
      <w:r>
        <w:rPr>
          <w:rStyle w:val="5"/>
          <w:rFonts w:hint="default" w:ascii="Times New Roman" w:hAnsi="Times New Roman" w:eastAsia="宋体" w:cs="Times New Roman"/>
          <w:b w:val="0"/>
          <w:bCs w:val="0"/>
          <w:sz w:val="24"/>
          <w:szCs w:val="24"/>
        </w:rPr>
        <w:t>. Knowledge structure, keyword co-occurrence, and thematic evolution of deep learning and computer vision research in robotic surgery.(A)</w:t>
      </w:r>
      <w:r>
        <w:rPr>
          <w:rFonts w:hint="default" w:ascii="Times New Roman" w:hAnsi="Times New Roman" w:eastAsia="宋体" w:cs="Times New Roman"/>
          <w:b w:val="0"/>
          <w:bCs w:val="0"/>
          <w:sz w:val="24"/>
          <w:szCs w:val="24"/>
        </w:rPr>
        <w:t xml:space="preserve"> Bibliographic coupling-based clustering network </w:t>
      </w:r>
      <w:r>
        <w:rPr>
          <w:rStyle w:val="5"/>
          <w:rFonts w:hint="default" w:ascii="Times New Roman" w:hAnsi="Times New Roman" w:eastAsia="宋体" w:cs="Times New Roman"/>
          <w:b w:val="0"/>
          <w:bCs w:val="0"/>
          <w:sz w:val="24"/>
          <w:szCs w:val="24"/>
        </w:rPr>
        <w:t>(B)</w:t>
      </w:r>
      <w:r>
        <w:rPr>
          <w:rFonts w:hint="default" w:ascii="Times New Roman" w:hAnsi="Times New Roman" w:eastAsia="宋体" w:cs="Times New Roman"/>
          <w:b w:val="0"/>
          <w:bCs w:val="0"/>
          <w:sz w:val="24"/>
          <w:szCs w:val="24"/>
        </w:rPr>
        <w:t xml:space="preserve"> Keyword co-occurrence network </w:t>
      </w:r>
      <w:r>
        <w:rPr>
          <w:rStyle w:val="5"/>
          <w:rFonts w:hint="default" w:ascii="Times New Roman" w:hAnsi="Times New Roman" w:eastAsia="宋体" w:cs="Times New Roman"/>
          <w:b w:val="0"/>
          <w:bCs w:val="0"/>
          <w:sz w:val="24"/>
          <w:szCs w:val="24"/>
        </w:rPr>
        <w:t>(C)</w:t>
      </w:r>
      <w:r>
        <w:rPr>
          <w:rFonts w:hint="default" w:ascii="Times New Roman" w:hAnsi="Times New Roman" w:eastAsia="宋体" w:cs="Times New Roman"/>
          <w:b w:val="0"/>
          <w:bCs w:val="0"/>
          <w:sz w:val="24"/>
          <w:szCs w:val="24"/>
        </w:rPr>
        <w:t xml:space="preserve"> Thematic evolution network across predefined time slices, illustrating the continuity, divergence, convergence, and reorganization of major research themes over time. </w:t>
      </w:r>
      <w:r>
        <w:rPr>
          <w:rStyle w:val="5"/>
          <w:rFonts w:hint="default" w:ascii="Times New Roman" w:hAnsi="Times New Roman" w:eastAsia="宋体" w:cs="Times New Roman"/>
          <w:b w:val="0"/>
          <w:bCs w:val="0"/>
          <w:sz w:val="24"/>
          <w:szCs w:val="24"/>
        </w:rPr>
        <w:t>(D)</w:t>
      </w:r>
      <w:r>
        <w:rPr>
          <w:rFonts w:hint="default" w:ascii="Times New Roman" w:hAnsi="Times New Roman" w:eastAsia="宋体" w:cs="Times New Roman"/>
          <w:b w:val="0"/>
          <w:bCs w:val="0"/>
          <w:sz w:val="24"/>
          <w:szCs w:val="24"/>
        </w:rPr>
        <w:t xml:space="preserve"> Conceptual structure map of high-frequency terms in factorial space</w:t>
      </w:r>
    </w:p>
    <w:p w14:paraId="1A38EB0B">
      <w:pPr>
        <w:numPr>
          <w:ilvl w:val="0"/>
          <w:numId w:val="0"/>
        </w:numPr>
        <w:spacing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24780" cy="3837305"/>
            <wp:effectExtent l="0" t="0" r="13970" b="10795"/>
            <wp:docPr id="10" name="图片 10" descr="3-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4_副本"/>
                    <pic:cNvPicPr>
                      <a:picLocks noChangeAspect="1"/>
                    </pic:cNvPicPr>
                  </pic:nvPicPr>
                  <pic:blipFill>
                    <a:blip r:embed="rId6"/>
                    <a:stretch>
                      <a:fillRect/>
                    </a:stretch>
                  </pic:blipFill>
                  <pic:spPr>
                    <a:xfrm>
                      <a:off x="0" y="0"/>
                      <a:ext cx="5224780" cy="3837305"/>
                    </a:xfrm>
                    <a:prstGeom prst="rect">
                      <a:avLst/>
                    </a:prstGeom>
                  </pic:spPr>
                </pic:pic>
              </a:graphicData>
            </a:graphic>
          </wp:inline>
        </w:drawing>
      </w:r>
    </w:p>
    <w:p w14:paraId="0F5FEFC4">
      <w:pPr>
        <w:spacing w:line="360" w:lineRule="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EA5B4"/>
    <w:multiLevelType w:val="singleLevel"/>
    <w:tmpl w:val="DB0EA5B4"/>
    <w:lvl w:ilvl="0" w:tentative="0">
      <w:start w:val="1"/>
      <w:numFmt w:val="upperLetter"/>
      <w:suff w:val="space"/>
      <w:lvlText w:val="(%1)"/>
      <w:lvlJc w:val="left"/>
    </w:lvl>
  </w:abstractNum>
  <w:abstractNum w:abstractNumId="1">
    <w:nsid w:val="FDA57266"/>
    <w:multiLevelType w:val="singleLevel"/>
    <w:tmpl w:val="FDA57266"/>
    <w:lvl w:ilvl="0" w:tentative="0">
      <w:start w:val="1"/>
      <w:numFmt w:val="upp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346223"/>
    <w:rsid w:val="7E346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2026-05-22T09:40:00Z</dcterms:created>
  <dc:creator>像鸡毛一样飞</dc:creator>
  <cp:lastModifiedBy>像鸡毛一样飞</cp:lastModifiedBy>
  <dcterms:modified xsi:type="dcterms:W3CDTF">2026-05-22T09:44:35Z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2A19F6F256894516B6B9AF278AAA4F8D_11</vt:lpwstr>
  </property>
  <property fmtid="{D5CDD505-2E9C-101B-9397-08002B2CF9AE}" pid="4" name="KSOTemplateDocerSaveRecord">
    <vt:lpwstr>eyJoZGlkIjoiZTQ4ODQwNThiYTg4YTBlNDhkZDRmNGNiNWM5NWE1YzAiLCJ1c2VySWQiOiI1Mzc4ODI5NDUifQ==</vt:lpwstr>
  </property>
</Properties>
</file>