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23E2C" w14:textId="77777777" w:rsidR="000E4447" w:rsidRPr="000E4447" w:rsidRDefault="000E4447" w:rsidP="000E4447">
      <w:pPr>
        <w:rPr>
          <w:b/>
          <w:bCs/>
          <w:lang w:val="en-US"/>
        </w:rPr>
      </w:pPr>
      <w:r w:rsidRPr="000E4447">
        <w:rPr>
          <w:b/>
          <w:bCs/>
          <w:lang w:val="en-US"/>
        </w:rPr>
        <w:t>Supplementary figures and figure legends</w:t>
      </w:r>
    </w:p>
    <w:p w14:paraId="51480ED3" w14:textId="77777777" w:rsidR="000E4447" w:rsidRPr="000E4447" w:rsidRDefault="000E4447" w:rsidP="000E4447">
      <w:pPr>
        <w:rPr>
          <w:lang w:val="en-US"/>
        </w:rPr>
      </w:pPr>
      <w:r w:rsidRPr="000E4447">
        <w:rPr>
          <w:lang w:val="en-US"/>
        </w:rPr>
        <w:drawing>
          <wp:inline distT="0" distB="0" distL="0" distR="0" wp14:anchorId="47F88F37" wp14:editId="259B1443">
            <wp:extent cx="5276850" cy="3822700"/>
            <wp:effectExtent l="0" t="0" r="0" b="6350"/>
            <wp:docPr id="3557387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DA3C5" w14:textId="77777777" w:rsidR="000E4447" w:rsidRPr="000E4447" w:rsidRDefault="000E4447" w:rsidP="000E4447">
      <w:pPr>
        <w:rPr>
          <w:lang w:val="en-US"/>
        </w:rPr>
      </w:pPr>
      <w:r w:rsidRPr="000E4447">
        <w:rPr>
          <w:b/>
          <w:bCs/>
          <w:lang w:val="en-US"/>
        </w:rPr>
        <w:t xml:space="preserve">Supplementary Fig. S1 </w:t>
      </w:r>
      <w:r w:rsidRPr="000E4447">
        <w:rPr>
          <w:lang w:val="en-US"/>
        </w:rPr>
        <w:t xml:space="preserve">Chromosomal localization of the three </w:t>
      </w:r>
      <w:r w:rsidRPr="000E4447">
        <w:rPr>
          <w:i/>
          <w:iCs/>
          <w:lang w:val="en-US"/>
        </w:rPr>
        <w:t>SPEM</w:t>
      </w:r>
      <w:r w:rsidRPr="000E4447">
        <w:rPr>
          <w:lang w:val="en-US"/>
        </w:rPr>
        <w:t xml:space="preserve"> genes and sequence homology of the three SPEM proteins in humans and mice. </w:t>
      </w:r>
      <w:r w:rsidRPr="000E4447">
        <w:rPr>
          <w:b/>
          <w:bCs/>
          <w:lang w:val="en-US"/>
        </w:rPr>
        <w:t>A</w:t>
      </w:r>
      <w:r w:rsidRPr="000E4447">
        <w:rPr>
          <w:lang w:val="en-US"/>
        </w:rPr>
        <w:t xml:space="preserve"> </w:t>
      </w:r>
      <w:bookmarkStart w:id="0" w:name="_Hlk227767391"/>
      <w:r w:rsidRPr="000E4447">
        <w:rPr>
          <w:lang w:val="en-US"/>
        </w:rPr>
        <w:t xml:space="preserve">The </w:t>
      </w:r>
      <w:r w:rsidRPr="000E4447">
        <w:rPr>
          <w:i/>
          <w:iCs/>
          <w:lang w:val="en-US"/>
        </w:rPr>
        <w:t>SPEM1</w:t>
      </w:r>
      <w:r w:rsidRPr="000E4447">
        <w:rPr>
          <w:lang w:val="en-US"/>
        </w:rPr>
        <w:t xml:space="preserve">, </w:t>
      </w:r>
      <w:r w:rsidRPr="000E4447">
        <w:rPr>
          <w:i/>
          <w:iCs/>
          <w:lang w:val="en-US"/>
        </w:rPr>
        <w:t>SPEM2</w:t>
      </w:r>
      <w:r w:rsidRPr="000E4447">
        <w:rPr>
          <w:lang w:val="en-US"/>
        </w:rPr>
        <w:t xml:space="preserve">, and </w:t>
      </w:r>
      <w:r w:rsidRPr="000E4447">
        <w:rPr>
          <w:i/>
          <w:iCs/>
          <w:lang w:val="en-US"/>
        </w:rPr>
        <w:t>SPEM3</w:t>
      </w:r>
      <w:r w:rsidRPr="000E4447">
        <w:rPr>
          <w:lang w:val="en-US"/>
        </w:rPr>
        <w:t xml:space="preserve"> genes are located adjacent to each other on the same chromosome in a gene</w:t>
      </w:r>
      <w:r w:rsidRPr="000E4447">
        <w:rPr>
          <w:lang w:val="en-US"/>
        </w:rPr>
        <w:noBreakHyphen/>
        <w:t>cluster</w:t>
      </w:r>
      <w:r w:rsidRPr="000E4447">
        <w:rPr>
          <w:lang w:val="en-US"/>
        </w:rPr>
        <w:noBreakHyphen/>
        <w:t>like manner in both humans and mice.</w:t>
      </w:r>
      <w:bookmarkEnd w:id="0"/>
      <w:r w:rsidRPr="000E4447">
        <w:rPr>
          <w:lang w:val="en-US"/>
        </w:rPr>
        <w:t xml:space="preserve"> </w:t>
      </w:r>
      <w:r w:rsidRPr="000E4447">
        <w:rPr>
          <w:b/>
          <w:bCs/>
          <w:lang w:val="en-US"/>
        </w:rPr>
        <w:t>B</w:t>
      </w:r>
      <w:r w:rsidRPr="000E4447">
        <w:rPr>
          <w:lang w:val="en-US"/>
        </w:rPr>
        <w:t xml:space="preserve"> Sequence homology among human SPEM1, SPEM2, and SPEM3 proteins. </w:t>
      </w:r>
      <w:r w:rsidRPr="000E4447">
        <w:rPr>
          <w:b/>
          <w:bCs/>
          <w:lang w:val="en-US"/>
        </w:rPr>
        <w:t>C</w:t>
      </w:r>
      <w:r w:rsidRPr="000E4447">
        <w:rPr>
          <w:lang w:val="en-US"/>
        </w:rPr>
        <w:t xml:space="preserve"> Sequence homology among mouse SPEM1, SPEM2, and SPEM3 proteins.</w:t>
      </w:r>
    </w:p>
    <w:p w14:paraId="0D30A4B8" w14:textId="77777777" w:rsidR="000E4447" w:rsidRPr="000E4447" w:rsidRDefault="000E4447" w:rsidP="000E4447">
      <w:pPr>
        <w:rPr>
          <w:lang w:val="en-US"/>
        </w:rPr>
      </w:pPr>
      <w:r w:rsidRPr="000E4447">
        <w:rPr>
          <w:lang w:val="en-US"/>
        </w:rPr>
        <w:br w:type="page"/>
      </w:r>
    </w:p>
    <w:p w14:paraId="1E2BECC1" w14:textId="77777777" w:rsidR="000E4447" w:rsidRPr="000E4447" w:rsidRDefault="000E4447" w:rsidP="000E4447">
      <w:pPr>
        <w:rPr>
          <w:lang w:val="en-US"/>
        </w:rPr>
      </w:pPr>
      <w:r w:rsidRPr="000E4447">
        <w:rPr>
          <w:lang w:val="en-US"/>
        </w:rPr>
        <w:lastRenderedPageBreak/>
        <w:drawing>
          <wp:inline distT="0" distB="0" distL="0" distR="0" wp14:anchorId="49651BAA" wp14:editId="46E333FB">
            <wp:extent cx="5276850" cy="4102100"/>
            <wp:effectExtent l="0" t="0" r="0" b="0"/>
            <wp:docPr id="21257357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66DA6" w14:textId="77777777" w:rsidR="000E4447" w:rsidRPr="000E4447" w:rsidRDefault="000E4447" w:rsidP="000E4447">
      <w:pPr>
        <w:rPr>
          <w:lang w:val="en-US"/>
        </w:rPr>
      </w:pPr>
      <w:r w:rsidRPr="000E4447">
        <w:rPr>
          <w:b/>
          <w:bCs/>
          <w:lang w:val="en-US"/>
        </w:rPr>
        <w:t xml:space="preserve">Supplementary Fig. S2 </w:t>
      </w:r>
      <w:r w:rsidRPr="000E4447">
        <w:rPr>
          <w:lang w:val="en-US"/>
        </w:rPr>
        <w:t xml:space="preserve">Generation of </w:t>
      </w:r>
      <w:r w:rsidRPr="000E4447">
        <w:rPr>
          <w:i/>
          <w:iCs/>
          <w:lang w:val="en-US"/>
        </w:rPr>
        <w:t>Spem3</w:t>
      </w:r>
      <w:r w:rsidRPr="000E4447">
        <w:rPr>
          <w:lang w:val="en-US"/>
        </w:rPr>
        <w:t xml:space="preserve"> knockout mice. </w:t>
      </w:r>
      <w:r w:rsidRPr="000E4447">
        <w:rPr>
          <w:b/>
          <w:bCs/>
          <w:lang w:val="en-US"/>
        </w:rPr>
        <w:t>A</w:t>
      </w:r>
      <w:r w:rsidRPr="000E4447">
        <w:rPr>
          <w:lang w:val="en-US"/>
        </w:rPr>
        <w:t xml:space="preserve"> Schematic of the </w:t>
      </w:r>
      <w:r w:rsidRPr="000E4447">
        <w:rPr>
          <w:i/>
          <w:iCs/>
          <w:lang w:val="en-US"/>
        </w:rPr>
        <w:t>Spem3</w:t>
      </w:r>
      <w:r w:rsidRPr="000E4447">
        <w:rPr>
          <w:lang w:val="en-US"/>
        </w:rPr>
        <w:t xml:space="preserve"> gene knockout strategy. Guide RNAs (gRNAs) were designed targeting intron 1 and exon 3, leading to Cas9</w:t>
      </w:r>
      <w:r w:rsidRPr="000E4447">
        <w:rPr>
          <w:lang w:val="en-US"/>
        </w:rPr>
        <w:noBreakHyphen/>
        <w:t>mediated deletion of a 3919</w:t>
      </w:r>
      <w:r w:rsidRPr="000E4447">
        <w:rPr>
          <w:lang w:val="en-US"/>
        </w:rPr>
        <w:noBreakHyphen/>
        <w:t xml:space="preserve">bp fragment encompassing exon 2 and most of exon 3, thereby functionally inactivating the </w:t>
      </w:r>
      <w:r w:rsidRPr="000E4447">
        <w:rPr>
          <w:i/>
          <w:iCs/>
          <w:lang w:val="en-US"/>
        </w:rPr>
        <w:t>Spem3</w:t>
      </w:r>
      <w:r w:rsidRPr="000E4447">
        <w:rPr>
          <w:lang w:val="en-US"/>
        </w:rPr>
        <w:t xml:space="preserve"> gene. </w:t>
      </w:r>
      <w:r w:rsidRPr="000E4447">
        <w:rPr>
          <w:b/>
          <w:bCs/>
          <w:lang w:val="en-US"/>
        </w:rPr>
        <w:t>B</w:t>
      </w:r>
      <w:r w:rsidRPr="000E4447">
        <w:rPr>
          <w:lang w:val="en-US"/>
        </w:rPr>
        <w:t xml:space="preserve"> Complementary pairing between the gRNAs and the wild</w:t>
      </w:r>
      <w:r w:rsidRPr="000E4447">
        <w:rPr>
          <w:lang w:val="en-US"/>
        </w:rPr>
        <w:noBreakHyphen/>
        <w:t>type (WT) genomic sequence, and validation of the 3919</w:t>
      </w:r>
      <w:r w:rsidRPr="000E4447">
        <w:rPr>
          <w:lang w:val="en-US"/>
        </w:rPr>
        <w:noBreakHyphen/>
        <w:t xml:space="preserve">bp deletion in </w:t>
      </w:r>
      <w:r w:rsidRPr="000E4447">
        <w:rPr>
          <w:i/>
          <w:iCs/>
          <w:lang w:val="en-US"/>
        </w:rPr>
        <w:t>Spem3</w:t>
      </w:r>
      <w:r w:rsidRPr="000E4447">
        <w:rPr>
          <w:i/>
          <w:iCs/>
          <w:vertAlign w:val="superscript"/>
          <w:lang w:val="en-US"/>
        </w:rPr>
        <w:t>-/-</w:t>
      </w:r>
      <w:r w:rsidRPr="000E4447">
        <w:rPr>
          <w:lang w:val="en-US"/>
        </w:rPr>
        <w:t xml:space="preserve"> mice by sequencing. </w:t>
      </w:r>
      <w:r w:rsidRPr="000E4447">
        <w:rPr>
          <w:b/>
          <w:bCs/>
          <w:lang w:val="en-US"/>
        </w:rPr>
        <w:t>C</w:t>
      </w:r>
      <w:r w:rsidRPr="000E4447">
        <w:rPr>
          <w:lang w:val="en-US"/>
        </w:rPr>
        <w:t xml:space="preserve"> PCR genotyping of the obtained mice. A WT band of 405 bp was amplified using primers P1 and P4; a homozygous (HO) band of 673 bp was amplified using primers P1 and P2. Heterozygous (HE) mice showed both bands. </w:t>
      </w:r>
      <w:r w:rsidRPr="000E4447">
        <w:rPr>
          <w:b/>
          <w:bCs/>
          <w:lang w:val="en-US"/>
        </w:rPr>
        <w:t>D</w:t>
      </w:r>
      <w:r w:rsidRPr="000E4447">
        <w:rPr>
          <w:lang w:val="en-US"/>
        </w:rPr>
        <w:t xml:space="preserve"> qPCR analysis of </w:t>
      </w:r>
      <w:r w:rsidRPr="000E4447">
        <w:rPr>
          <w:i/>
          <w:iCs/>
          <w:lang w:val="en-US"/>
        </w:rPr>
        <w:t>Spem3</w:t>
      </w:r>
      <w:r w:rsidRPr="000E4447">
        <w:rPr>
          <w:lang w:val="en-US"/>
        </w:rPr>
        <w:t xml:space="preserve"> mRNA expression levels in testis tissues of WT, HE, and HO mice. </w:t>
      </w:r>
      <w:proofErr w:type="spellStart"/>
      <w:r w:rsidRPr="000E4447">
        <w:rPr>
          <w:i/>
          <w:iCs/>
          <w:lang w:val="en-US"/>
        </w:rPr>
        <w:t>Actb</w:t>
      </w:r>
      <w:proofErr w:type="spellEnd"/>
      <w:r w:rsidRPr="000E4447">
        <w:rPr>
          <w:lang w:val="en-US"/>
        </w:rPr>
        <w:t xml:space="preserve"> was used as an internal control for relative quantification. </w:t>
      </w:r>
      <w:r w:rsidRPr="000E4447">
        <w:rPr>
          <w:b/>
          <w:bCs/>
          <w:lang w:val="en-US"/>
        </w:rPr>
        <w:t>E</w:t>
      </w:r>
      <w:r w:rsidRPr="000E4447">
        <w:rPr>
          <w:lang w:val="en-US"/>
        </w:rPr>
        <w:t xml:space="preserve"> Western blot detection of SPEM3 protein levels in testis tissues of WT, HE, and HO mice. ACTB served as </w:t>
      </w:r>
      <w:proofErr w:type="gramStart"/>
      <w:r w:rsidRPr="000E4447">
        <w:rPr>
          <w:lang w:val="en-US"/>
        </w:rPr>
        <w:t>a loading</w:t>
      </w:r>
      <w:proofErr w:type="gramEnd"/>
      <w:r w:rsidRPr="000E4447">
        <w:rPr>
          <w:lang w:val="en-US"/>
        </w:rPr>
        <w:t xml:space="preserve"> control.</w:t>
      </w:r>
    </w:p>
    <w:p w14:paraId="5B49425C" w14:textId="77777777" w:rsidR="000E4447" w:rsidRPr="000E4447" w:rsidRDefault="000E4447" w:rsidP="000E4447">
      <w:pPr>
        <w:rPr>
          <w:lang w:val="en-US"/>
        </w:rPr>
      </w:pPr>
      <w:r w:rsidRPr="000E4447">
        <w:rPr>
          <w:lang w:val="en-US"/>
        </w:rPr>
        <w:br w:type="page"/>
      </w:r>
    </w:p>
    <w:p w14:paraId="2483A116" w14:textId="77777777" w:rsidR="000E4447" w:rsidRPr="000E4447" w:rsidRDefault="000E4447" w:rsidP="000E4447">
      <w:pPr>
        <w:rPr>
          <w:lang w:val="en-US"/>
        </w:rPr>
      </w:pPr>
      <w:r w:rsidRPr="000E4447">
        <w:rPr>
          <w:lang w:val="en-US"/>
        </w:rPr>
        <w:lastRenderedPageBreak/>
        <w:drawing>
          <wp:inline distT="0" distB="0" distL="0" distR="0" wp14:anchorId="154DFB41" wp14:editId="6BACA2A2">
            <wp:extent cx="4629150" cy="4330700"/>
            <wp:effectExtent l="0" t="0" r="0" b="0"/>
            <wp:docPr id="12514148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77E6A" w14:textId="77777777" w:rsidR="000E4447" w:rsidRPr="000E4447" w:rsidRDefault="000E4447" w:rsidP="000E4447">
      <w:pPr>
        <w:rPr>
          <w:lang w:val="en-US"/>
        </w:rPr>
      </w:pPr>
      <w:r w:rsidRPr="000E4447">
        <w:rPr>
          <w:b/>
          <w:bCs/>
          <w:lang w:val="en-US"/>
        </w:rPr>
        <w:t xml:space="preserve">Supplementary Fig. S3 </w:t>
      </w:r>
      <w:r w:rsidRPr="000E4447">
        <w:rPr>
          <w:lang w:val="en-US"/>
        </w:rPr>
        <w:t xml:space="preserve">qPCR validation of five differentially expressed genes (DEGs) identified by mRNA sequencing. The relative expression levels of </w:t>
      </w:r>
      <w:r w:rsidRPr="000E4447">
        <w:rPr>
          <w:i/>
          <w:iCs/>
          <w:lang w:val="en-US"/>
        </w:rPr>
        <w:t>Eif3j2</w:t>
      </w:r>
      <w:r w:rsidRPr="000E4447">
        <w:rPr>
          <w:lang w:val="en-US"/>
        </w:rPr>
        <w:t xml:space="preserve"> (</w:t>
      </w:r>
      <w:r w:rsidRPr="000E4447">
        <w:rPr>
          <w:b/>
          <w:bCs/>
          <w:lang w:val="en-US"/>
        </w:rPr>
        <w:t>A</w:t>
      </w:r>
      <w:r w:rsidRPr="000E4447">
        <w:rPr>
          <w:lang w:val="en-US"/>
        </w:rPr>
        <w:t xml:space="preserve">), </w:t>
      </w:r>
      <w:r w:rsidRPr="000E4447">
        <w:rPr>
          <w:i/>
          <w:iCs/>
          <w:lang w:val="en-US"/>
        </w:rPr>
        <w:t>Atp7a</w:t>
      </w:r>
      <w:r w:rsidRPr="000E4447">
        <w:rPr>
          <w:lang w:val="en-US"/>
        </w:rPr>
        <w:t xml:space="preserve"> (</w:t>
      </w:r>
      <w:r w:rsidRPr="000E4447">
        <w:rPr>
          <w:b/>
          <w:bCs/>
          <w:lang w:val="en-US"/>
        </w:rPr>
        <w:t>B</w:t>
      </w:r>
      <w:r w:rsidRPr="000E4447">
        <w:rPr>
          <w:lang w:val="en-US"/>
        </w:rPr>
        <w:t xml:space="preserve">), </w:t>
      </w:r>
      <w:r w:rsidRPr="000E4447">
        <w:rPr>
          <w:i/>
          <w:iCs/>
          <w:lang w:val="en-US"/>
        </w:rPr>
        <w:t>Rnf26</w:t>
      </w:r>
      <w:r w:rsidRPr="000E4447">
        <w:rPr>
          <w:lang w:val="en-US"/>
        </w:rPr>
        <w:t xml:space="preserve"> (</w:t>
      </w:r>
      <w:r w:rsidRPr="000E4447">
        <w:rPr>
          <w:b/>
          <w:bCs/>
          <w:lang w:val="en-US"/>
        </w:rPr>
        <w:t>C</w:t>
      </w:r>
      <w:r w:rsidRPr="000E4447">
        <w:rPr>
          <w:lang w:val="en-US"/>
        </w:rPr>
        <w:t xml:space="preserve">), </w:t>
      </w:r>
      <w:r w:rsidRPr="000E4447">
        <w:rPr>
          <w:i/>
          <w:iCs/>
          <w:lang w:val="en-US"/>
        </w:rPr>
        <w:t>Prdm8</w:t>
      </w:r>
      <w:r w:rsidRPr="000E4447">
        <w:rPr>
          <w:lang w:val="en-US"/>
        </w:rPr>
        <w:t xml:space="preserve"> (</w:t>
      </w:r>
      <w:r w:rsidRPr="000E4447">
        <w:rPr>
          <w:b/>
          <w:bCs/>
          <w:lang w:val="en-US"/>
        </w:rPr>
        <w:t>D</w:t>
      </w:r>
      <w:r w:rsidRPr="000E4447">
        <w:rPr>
          <w:lang w:val="en-US"/>
        </w:rPr>
        <w:t xml:space="preserve">), and </w:t>
      </w:r>
      <w:r w:rsidRPr="000E4447">
        <w:rPr>
          <w:i/>
          <w:iCs/>
          <w:lang w:val="en-US"/>
        </w:rPr>
        <w:t>Spem3</w:t>
      </w:r>
      <w:r w:rsidRPr="000E4447">
        <w:rPr>
          <w:lang w:val="en-US"/>
        </w:rPr>
        <w:t xml:space="preserve"> (</w:t>
      </w:r>
      <w:r w:rsidRPr="000E4447">
        <w:rPr>
          <w:b/>
          <w:bCs/>
          <w:lang w:val="en-US"/>
        </w:rPr>
        <w:t>E</w:t>
      </w:r>
      <w:r w:rsidRPr="000E4447">
        <w:rPr>
          <w:lang w:val="en-US"/>
        </w:rPr>
        <w:t>) in the seminiferous tubules of 8</w:t>
      </w:r>
      <w:r w:rsidRPr="000E4447">
        <w:rPr>
          <w:lang w:val="en-US"/>
        </w:rPr>
        <w:noBreakHyphen/>
        <w:t>week</w:t>
      </w:r>
      <w:r w:rsidRPr="000E4447">
        <w:rPr>
          <w:lang w:val="en-US"/>
        </w:rPr>
        <w:noBreakHyphen/>
        <w:t xml:space="preserve">old WT and </w:t>
      </w:r>
      <w:r w:rsidRPr="000E4447">
        <w:rPr>
          <w:i/>
          <w:iCs/>
          <w:lang w:val="en-US"/>
        </w:rPr>
        <w:t>Spem3</w:t>
      </w:r>
      <w:r w:rsidRPr="000E4447">
        <w:rPr>
          <w:lang w:val="en-US"/>
        </w:rPr>
        <w:noBreakHyphen/>
        <w:t xml:space="preserve">HO mice were measured by qPCR. </w:t>
      </w:r>
      <w:proofErr w:type="spellStart"/>
      <w:r w:rsidRPr="000E4447">
        <w:rPr>
          <w:i/>
          <w:iCs/>
          <w:lang w:val="en-US"/>
        </w:rPr>
        <w:t>Hprt</w:t>
      </w:r>
      <w:proofErr w:type="spellEnd"/>
      <w:r w:rsidRPr="000E4447">
        <w:rPr>
          <w:lang w:val="en-US"/>
        </w:rPr>
        <w:t xml:space="preserve"> was used as an internal reference gene.</w:t>
      </w:r>
    </w:p>
    <w:p w14:paraId="484995E7" w14:textId="77777777" w:rsidR="000E4447" w:rsidRPr="000E4447" w:rsidRDefault="000E4447" w:rsidP="000E4447">
      <w:pPr>
        <w:rPr>
          <w:lang w:val="en-US"/>
        </w:rPr>
      </w:pPr>
    </w:p>
    <w:p w14:paraId="4A08A040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447"/>
    <w:rsid w:val="000E4447"/>
    <w:rsid w:val="00767E38"/>
    <w:rsid w:val="00866F7D"/>
    <w:rsid w:val="00E52C0A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3558C"/>
  <w15:chartTrackingRefBased/>
  <w15:docId w15:val="{65C313E5-9E45-43A2-B26D-9CB471B1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44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44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44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44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44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44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44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44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44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44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44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44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44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44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44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44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44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44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44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44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44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44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44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44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44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44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44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44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44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2026-05-29T10:33:00Z</dcterms:created>
  <dcterms:modified xsi:type="dcterms:W3CDTF">2026-05-29T10:34:00Z</dcterms:modified>
</cp:coreProperties>
</file>