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23A" w:rsidRPr="006E0F91" w:rsidRDefault="005D723A" w:rsidP="00266D66">
      <w:pPr>
        <w:pStyle w:val="Balk1"/>
        <w:jc w:val="both"/>
        <w:rPr>
          <w:rFonts w:ascii="Times New Roman" w:hAnsi="Times New Roman" w:cs="Times New Roman"/>
          <w:color w:val="000000" w:themeColor="text1"/>
          <w:sz w:val="24"/>
          <w:szCs w:val="24"/>
        </w:rPr>
      </w:pPr>
      <w:r w:rsidRPr="006E0F91">
        <w:rPr>
          <w:rFonts w:ascii="Times New Roman" w:hAnsi="Times New Roman" w:cs="Times New Roman"/>
          <w:color w:val="000000" w:themeColor="text1"/>
          <w:sz w:val="24"/>
          <w:szCs w:val="24"/>
        </w:rPr>
        <w:t>SUPPLEMENTARY MATERIAL</w:t>
      </w:r>
    </w:p>
    <w:p w:rsidR="005D723A" w:rsidRPr="006E0F91" w:rsidRDefault="005D723A" w:rsidP="00266D66">
      <w:pPr>
        <w:pStyle w:val="Balk2"/>
        <w:jc w:val="both"/>
        <w:rPr>
          <w:color w:val="000000" w:themeColor="text1"/>
          <w:sz w:val="24"/>
          <w:szCs w:val="24"/>
        </w:rPr>
      </w:pPr>
      <w:r w:rsidRPr="006E0F91">
        <w:rPr>
          <w:color w:val="000000" w:themeColor="text1"/>
          <w:sz w:val="24"/>
          <w:szCs w:val="24"/>
        </w:rPr>
        <w:t>Supplementary Methods</w:t>
      </w:r>
    </w:p>
    <w:p w:rsidR="005D723A" w:rsidRPr="006E0F91" w:rsidRDefault="005D723A" w:rsidP="00266D66">
      <w:pPr>
        <w:pStyle w:val="Balk3"/>
        <w:jc w:val="both"/>
        <w:rPr>
          <w:rFonts w:ascii="Times New Roman" w:hAnsi="Times New Roman" w:cs="Times New Roman"/>
          <w:b w:val="0"/>
          <w:i/>
          <w:color w:val="000000" w:themeColor="text1"/>
          <w:sz w:val="24"/>
          <w:szCs w:val="24"/>
        </w:rPr>
      </w:pPr>
      <w:r w:rsidRPr="006E0F91">
        <w:rPr>
          <w:rFonts w:ascii="Times New Roman" w:hAnsi="Times New Roman" w:cs="Times New Roman"/>
          <w:b w:val="0"/>
          <w:i/>
          <w:color w:val="000000" w:themeColor="text1"/>
          <w:sz w:val="24"/>
          <w:szCs w:val="24"/>
        </w:rPr>
        <w:t>Full specification of the final multidomain model</w:t>
      </w:r>
    </w:p>
    <w:p w:rsidR="005D723A" w:rsidRPr="006E0F91" w:rsidRDefault="005D723A" w:rsidP="00704ADE">
      <w:pPr>
        <w:pStyle w:val="NormalWeb"/>
        <w:ind w:firstLine="708"/>
        <w:jc w:val="both"/>
        <w:rPr>
          <w:color w:val="000000" w:themeColor="text1"/>
        </w:rPr>
      </w:pPr>
      <w:r w:rsidRPr="006E0F91">
        <w:rPr>
          <w:color w:val="000000" w:themeColor="text1"/>
        </w:rPr>
        <w:t>The final multidomain logistic regression model was specified to evaluate the association of clinical variables, ambulatory hemodynamic parameters, diastolic morning surge, ventricular repolarization heterogeneity, and systemic inflammatory activation with definite echocardiographic left ventricular diastolic dysfunction. The prespecified model included age, sex, body mass index, diabetes mellitus, current smoking status, 24-hour systolic blood pressure, 24-hour diastolic blood pressure, nocturnal systolic dipping percentage, diastolic morning surge, T-peak–to–T-end interval, and neutrophil-to-lymphocyte ratio.</w:t>
      </w:r>
    </w:p>
    <w:p w:rsidR="005D723A" w:rsidRPr="006E0F91" w:rsidRDefault="005D723A" w:rsidP="00704ADE">
      <w:pPr>
        <w:pStyle w:val="NormalWeb"/>
        <w:ind w:firstLine="708"/>
        <w:jc w:val="both"/>
        <w:rPr>
          <w:color w:val="000000" w:themeColor="text1"/>
        </w:rPr>
      </w:pPr>
      <w:r w:rsidRPr="006E0F91">
        <w:rPr>
          <w:color w:val="000000" w:themeColor="text1"/>
        </w:rPr>
        <w:t>Regression coefficients, standard errors, adjusted odds ratios, 95% confidence intervals, and p values are provided in Supplementary Table S1. The model intercept is also reported to allow transparent reconstruction of predicted probabilities and to facilitate future external validation.</w:t>
      </w:r>
    </w:p>
    <w:p w:rsidR="005D723A" w:rsidRPr="006E0F91" w:rsidRDefault="005D723A" w:rsidP="00266D66">
      <w:pPr>
        <w:pStyle w:val="Balk3"/>
        <w:jc w:val="both"/>
        <w:rPr>
          <w:rFonts w:ascii="Times New Roman" w:hAnsi="Times New Roman" w:cs="Times New Roman"/>
          <w:b w:val="0"/>
          <w:i/>
          <w:color w:val="000000" w:themeColor="text1"/>
          <w:sz w:val="24"/>
          <w:szCs w:val="24"/>
        </w:rPr>
      </w:pPr>
      <w:r w:rsidRPr="006E0F91">
        <w:rPr>
          <w:rFonts w:ascii="Times New Roman" w:hAnsi="Times New Roman" w:cs="Times New Roman"/>
          <w:b w:val="0"/>
          <w:i/>
          <w:color w:val="000000" w:themeColor="text1"/>
          <w:sz w:val="24"/>
          <w:szCs w:val="24"/>
        </w:rPr>
        <w:t>Analysis of indeterminate diastolic function</w:t>
      </w:r>
    </w:p>
    <w:p w:rsidR="005D723A" w:rsidRPr="006E0F91" w:rsidRDefault="005D723A" w:rsidP="00704ADE">
      <w:pPr>
        <w:pStyle w:val="NormalWeb"/>
        <w:ind w:firstLine="708"/>
        <w:jc w:val="both"/>
        <w:rPr>
          <w:color w:val="000000" w:themeColor="text1"/>
        </w:rPr>
      </w:pPr>
      <w:r w:rsidRPr="006E0F91">
        <w:rPr>
          <w:color w:val="000000" w:themeColor="text1"/>
        </w:rPr>
        <w:t>Participants with indeterminate diastolic function were excluded from the primary analytic cohort to preserve outcome specificity. To evaluate whether this exclusion materially influenced the findings, the indeterminate subgroup was compared separately with participants with definite normal diastolic function and with participants with definite LVDD.</w:t>
      </w:r>
    </w:p>
    <w:p w:rsidR="005D723A" w:rsidRPr="006E0F91" w:rsidRDefault="005D723A" w:rsidP="00704ADE">
      <w:pPr>
        <w:pStyle w:val="NormalWeb"/>
        <w:ind w:firstLine="708"/>
        <w:jc w:val="both"/>
        <w:rPr>
          <w:color w:val="000000" w:themeColor="text1"/>
        </w:rPr>
      </w:pPr>
      <w:r w:rsidRPr="006E0F91">
        <w:rPr>
          <w:color w:val="000000" w:themeColor="text1"/>
        </w:rPr>
        <w:t>Between-group comparisons included clinical characteristics, ambulatory blood pressure parameters, echocardiographic indices, electrocardiographic repolarization markers, and laboratory parameters. Continuous variables were compared using Student’s t-test or the Mann–Whitney U test according to distributional characteristics. Categorical variables were compared using the chi-square test. Effect sizes were summarized using Cohen’s d for continuous variables and Cohen’s h for categorical variables.</w:t>
      </w:r>
    </w:p>
    <w:p w:rsidR="005D723A" w:rsidRPr="006E0F91" w:rsidRDefault="005D723A" w:rsidP="00266D66">
      <w:pPr>
        <w:pStyle w:val="Balk3"/>
        <w:jc w:val="both"/>
        <w:rPr>
          <w:rFonts w:ascii="Times New Roman" w:hAnsi="Times New Roman" w:cs="Times New Roman"/>
          <w:b w:val="0"/>
          <w:i/>
          <w:color w:val="000000" w:themeColor="text1"/>
          <w:sz w:val="24"/>
          <w:szCs w:val="24"/>
        </w:rPr>
      </w:pPr>
      <w:r w:rsidRPr="006E0F91">
        <w:rPr>
          <w:rFonts w:ascii="Times New Roman" w:hAnsi="Times New Roman" w:cs="Times New Roman"/>
          <w:b w:val="0"/>
          <w:i/>
          <w:color w:val="000000" w:themeColor="text1"/>
          <w:sz w:val="24"/>
          <w:szCs w:val="24"/>
        </w:rPr>
        <w:t>Outcome reclassification sensitivity analyses</w:t>
      </w:r>
    </w:p>
    <w:p w:rsidR="005D723A" w:rsidRPr="006E0F91" w:rsidRDefault="005D723A" w:rsidP="003F4187">
      <w:pPr>
        <w:pStyle w:val="NormalWeb"/>
        <w:ind w:firstLine="708"/>
        <w:jc w:val="both"/>
        <w:rPr>
          <w:color w:val="000000" w:themeColor="text1"/>
        </w:rPr>
      </w:pPr>
      <w:r w:rsidRPr="006E0F91">
        <w:rPr>
          <w:color w:val="000000" w:themeColor="text1"/>
        </w:rPr>
        <w:t>To examine the robustness of model performance to alternative handling of indeterminate diastolic function, three outcome-classification scenarios were evaluated. In the primary model, participants with indeterminate diastolic function were excluded. In a second model, indeterminate cases were reclassified as normal diastolic function. In a third model, indeterminate cases were reclassified as LVDD.</w:t>
      </w:r>
    </w:p>
    <w:p w:rsidR="005D723A" w:rsidRPr="006E0F91" w:rsidRDefault="005D723A" w:rsidP="003F4187">
      <w:pPr>
        <w:pStyle w:val="NormalWeb"/>
        <w:ind w:firstLine="708"/>
        <w:jc w:val="both"/>
        <w:rPr>
          <w:color w:val="000000" w:themeColor="text1"/>
        </w:rPr>
      </w:pPr>
      <w:r w:rsidRPr="006E0F91">
        <w:rPr>
          <w:color w:val="000000" w:themeColor="text1"/>
        </w:rPr>
        <w:t>For each scenario, model discrimination was assessed using the area under the receiver operating characteristic curve. Internal validation was performed using bootstrap resampling to obtain optimism-corrected AUC and corrected calibration slope. Calibration intercept and Brier score were also reported.</w:t>
      </w:r>
    </w:p>
    <w:p w:rsidR="005D723A" w:rsidRPr="006E0F91" w:rsidRDefault="005D723A" w:rsidP="00266D66">
      <w:pPr>
        <w:pStyle w:val="Balk3"/>
        <w:jc w:val="both"/>
        <w:rPr>
          <w:rFonts w:ascii="Times New Roman" w:hAnsi="Times New Roman" w:cs="Times New Roman"/>
          <w:b w:val="0"/>
          <w:i/>
          <w:color w:val="000000" w:themeColor="text1"/>
          <w:sz w:val="24"/>
          <w:szCs w:val="24"/>
        </w:rPr>
      </w:pPr>
      <w:r w:rsidRPr="006E0F91">
        <w:rPr>
          <w:rFonts w:ascii="Times New Roman" w:hAnsi="Times New Roman" w:cs="Times New Roman"/>
          <w:b w:val="0"/>
          <w:i/>
          <w:color w:val="000000" w:themeColor="text1"/>
          <w:sz w:val="24"/>
          <w:szCs w:val="24"/>
        </w:rPr>
        <w:lastRenderedPageBreak/>
        <w:t>Detailed stepwise hierarchical model performance</w:t>
      </w:r>
    </w:p>
    <w:p w:rsidR="005D723A" w:rsidRPr="006E0F91" w:rsidRDefault="005D723A" w:rsidP="003F4187">
      <w:pPr>
        <w:pStyle w:val="NormalWeb"/>
        <w:ind w:firstLine="708"/>
        <w:jc w:val="both"/>
        <w:rPr>
          <w:color w:val="000000" w:themeColor="text1"/>
        </w:rPr>
      </w:pPr>
      <w:r w:rsidRPr="006E0F91">
        <w:rPr>
          <w:color w:val="000000" w:themeColor="text1"/>
        </w:rPr>
        <w:t>In addition to the simplified three-model framework presented in the main manuscript, a detailed stepwise hierarchical modeling sequence was evaluated in the Supplementary Material. This analysis was designed to show the incremental contribution of each domain separately.</w:t>
      </w:r>
    </w:p>
    <w:p w:rsidR="005D723A" w:rsidRPr="006E0F91" w:rsidRDefault="005D723A" w:rsidP="003F4187">
      <w:pPr>
        <w:pStyle w:val="NormalWeb"/>
        <w:ind w:firstLine="708"/>
        <w:jc w:val="both"/>
        <w:rPr>
          <w:color w:val="000000" w:themeColor="text1"/>
        </w:rPr>
      </w:pPr>
      <w:r w:rsidRPr="006E0F91">
        <w:rPr>
          <w:color w:val="000000" w:themeColor="text1"/>
        </w:rPr>
        <w:t>The baseline clinical model included age, sex, body mass index, diabetes mellitus, and current smoking status. Ambulatory hemodynamic variables were then added, including 24-hour systolic blood pressure, 24-hour diastolic blood pressure, and nocturnal systolic dipping. Diastolic morning surge was subsequently added to evaluate the contribution of circadian diastolic hemodynamic stress. T-peak–to–T-end interval was then incorporated as the prespecified electrocardiographic marker of ventricular repolarization heterogeneity. Finally, neutrophil-to-lymphocyte ratio was added as the prespecified inflammatory marker. A further sensitivity extension included systolic morning surge.</w:t>
      </w:r>
    </w:p>
    <w:p w:rsidR="005D723A" w:rsidRPr="006E0F91" w:rsidRDefault="005D723A" w:rsidP="003F4187">
      <w:pPr>
        <w:pStyle w:val="NormalWeb"/>
        <w:ind w:firstLine="708"/>
        <w:jc w:val="both"/>
        <w:rPr>
          <w:color w:val="000000" w:themeColor="text1"/>
        </w:rPr>
      </w:pPr>
      <w:r w:rsidRPr="006E0F91">
        <w:rPr>
          <w:color w:val="000000" w:themeColor="text1"/>
        </w:rPr>
        <w:t>Discrimination was quantified using AUC, and sequential changes in AUC were compared using the DeLong test for correlated ROC curves. Overall model accuracy was assessed using the Brier score, and calibration was summarized using the calibration slope. Bootstrap internal validation was performed for the final prespecified model.</w:t>
      </w:r>
    </w:p>
    <w:p w:rsidR="005D723A" w:rsidRPr="006E0F91" w:rsidRDefault="005D723A" w:rsidP="00266D66">
      <w:pPr>
        <w:pStyle w:val="Balk3"/>
        <w:jc w:val="both"/>
        <w:rPr>
          <w:rFonts w:ascii="Times New Roman" w:hAnsi="Times New Roman" w:cs="Times New Roman"/>
          <w:b w:val="0"/>
          <w:i/>
          <w:color w:val="000000" w:themeColor="text1"/>
          <w:sz w:val="24"/>
          <w:szCs w:val="24"/>
        </w:rPr>
      </w:pPr>
      <w:r w:rsidRPr="006E0F91">
        <w:rPr>
          <w:rFonts w:ascii="Times New Roman" w:hAnsi="Times New Roman" w:cs="Times New Roman"/>
          <w:b w:val="0"/>
          <w:i/>
          <w:color w:val="000000" w:themeColor="text1"/>
          <w:sz w:val="24"/>
          <w:szCs w:val="24"/>
        </w:rPr>
        <w:t>Exploratory centered interaction analyses</w:t>
      </w:r>
    </w:p>
    <w:p w:rsidR="005D723A" w:rsidRPr="006E0F91" w:rsidRDefault="005D723A" w:rsidP="003F4187">
      <w:pPr>
        <w:pStyle w:val="NormalWeb"/>
        <w:ind w:firstLine="708"/>
        <w:jc w:val="both"/>
        <w:rPr>
          <w:color w:val="000000" w:themeColor="text1"/>
        </w:rPr>
      </w:pPr>
      <w:r w:rsidRPr="006E0F91">
        <w:rPr>
          <w:color w:val="000000" w:themeColor="text1"/>
        </w:rPr>
        <w:t>Exploratory interaction analyses were performed to assess whether the associations of Tp-e interval and NLR with definite LVDD differed according to the degree of diastolic morning surge. DMS, Tp-e interval, and NLR were mean-centered before construction of multiplicative interaction terms to improve interpretability and reduce nonessential collinearity.</w:t>
      </w:r>
    </w:p>
    <w:p w:rsidR="005D723A" w:rsidRPr="006E0F91" w:rsidRDefault="005D723A" w:rsidP="003F4187">
      <w:pPr>
        <w:pStyle w:val="NormalWeb"/>
        <w:ind w:firstLine="708"/>
        <w:jc w:val="both"/>
        <w:rPr>
          <w:color w:val="000000" w:themeColor="text1"/>
        </w:rPr>
      </w:pPr>
      <w:r w:rsidRPr="006E0F91">
        <w:rPr>
          <w:color w:val="000000" w:themeColor="text1"/>
        </w:rPr>
        <w:t>Two interaction terms were evaluated: centered DMS × centered Tp-e interval and centered DMS × centered NLR. These terms were added to the final multidomain model. Changes in discrimination were assessed using AUC and the DeLong test, and improvement in nested model fit was assessed using the likelihood ratio test. These interaction analyses were considered exploratory and hypothesis-generating.</w:t>
      </w:r>
    </w:p>
    <w:p w:rsidR="005D723A" w:rsidRPr="006E0F91" w:rsidRDefault="005D723A" w:rsidP="00266D66">
      <w:pPr>
        <w:pStyle w:val="Balk3"/>
        <w:jc w:val="both"/>
        <w:rPr>
          <w:rFonts w:ascii="Times New Roman" w:hAnsi="Times New Roman" w:cs="Times New Roman"/>
          <w:b w:val="0"/>
          <w:i/>
          <w:color w:val="000000" w:themeColor="text1"/>
          <w:sz w:val="24"/>
          <w:szCs w:val="24"/>
        </w:rPr>
      </w:pPr>
      <w:r w:rsidRPr="006E0F91">
        <w:rPr>
          <w:rFonts w:ascii="Times New Roman" w:hAnsi="Times New Roman" w:cs="Times New Roman"/>
          <w:b w:val="0"/>
          <w:i/>
          <w:color w:val="000000" w:themeColor="text1"/>
          <w:sz w:val="24"/>
          <w:szCs w:val="24"/>
        </w:rPr>
        <w:t>Sensitivity analysis incorporating systolic morning surge</w:t>
      </w:r>
    </w:p>
    <w:p w:rsidR="005D723A" w:rsidRPr="006E0F91" w:rsidRDefault="005D723A" w:rsidP="003F4187">
      <w:pPr>
        <w:pStyle w:val="NormalWeb"/>
        <w:ind w:firstLine="708"/>
        <w:jc w:val="both"/>
        <w:rPr>
          <w:color w:val="000000" w:themeColor="text1"/>
        </w:rPr>
      </w:pPr>
      <w:r w:rsidRPr="006E0F91">
        <w:rPr>
          <w:color w:val="000000" w:themeColor="text1"/>
        </w:rPr>
        <w:t>A sensitivity model was constructed to evaluate whether systolic morning surge provided additional discriminatory information beyond the final multidomain model. SMS was added to the model including clinical variables, ABPM parameters, DMS, Tp-e interval, and NLR. Model discrimination, Brier score, calibration slope, adjusted odds ratio for SMS, and variance inflation factor were examined. SMS was not retained in the final parsimonious model if it did not materially improve discrimination or model calibration.</w:t>
      </w:r>
    </w:p>
    <w:p w:rsidR="005D723A" w:rsidRPr="006E0F91" w:rsidRDefault="005D723A" w:rsidP="00266D66">
      <w:pPr>
        <w:pStyle w:val="Balk1"/>
        <w:jc w:val="both"/>
        <w:rPr>
          <w:rFonts w:ascii="Times New Roman" w:hAnsi="Times New Roman" w:cs="Times New Roman"/>
          <w:color w:val="000000" w:themeColor="text1"/>
          <w:sz w:val="24"/>
          <w:szCs w:val="24"/>
        </w:rPr>
      </w:pPr>
      <w:r w:rsidRPr="006E0F91">
        <w:rPr>
          <w:rFonts w:ascii="Times New Roman" w:hAnsi="Times New Roman" w:cs="Times New Roman"/>
          <w:color w:val="000000" w:themeColor="text1"/>
          <w:sz w:val="24"/>
          <w:szCs w:val="24"/>
        </w:rPr>
        <w:lastRenderedPageBreak/>
        <w:t>Supplementary Results</w:t>
      </w:r>
    </w:p>
    <w:p w:rsidR="005D723A" w:rsidRPr="006E0F91" w:rsidRDefault="005D723A" w:rsidP="00266D66">
      <w:pPr>
        <w:pStyle w:val="Balk3"/>
        <w:jc w:val="both"/>
        <w:rPr>
          <w:rFonts w:ascii="Times New Roman" w:hAnsi="Times New Roman" w:cs="Times New Roman"/>
          <w:b w:val="0"/>
          <w:i/>
          <w:color w:val="000000" w:themeColor="text1"/>
          <w:sz w:val="24"/>
          <w:szCs w:val="24"/>
        </w:rPr>
      </w:pPr>
      <w:r w:rsidRPr="006E0F91">
        <w:rPr>
          <w:rFonts w:ascii="Times New Roman" w:hAnsi="Times New Roman" w:cs="Times New Roman"/>
          <w:b w:val="0"/>
          <w:i/>
          <w:color w:val="000000" w:themeColor="text1"/>
          <w:sz w:val="24"/>
          <w:szCs w:val="24"/>
        </w:rPr>
        <w:t>Final multidomain model specification</w:t>
      </w:r>
    </w:p>
    <w:p w:rsidR="005D723A" w:rsidRPr="006E0F91" w:rsidRDefault="005D723A" w:rsidP="003F4187">
      <w:pPr>
        <w:pStyle w:val="NormalWeb"/>
        <w:ind w:firstLine="708"/>
        <w:jc w:val="both"/>
        <w:rPr>
          <w:color w:val="000000" w:themeColor="text1"/>
        </w:rPr>
      </w:pPr>
      <w:proofErr w:type="gramStart"/>
      <w:r w:rsidRPr="006E0F91">
        <w:rPr>
          <w:color w:val="000000" w:themeColor="text1"/>
        </w:rPr>
        <w:t>The final multidomain model showed that several clinical, ambulatory hemodynamic, electrocardiographic, and inflammatory markers were independently associated with definite echocardiographic LVDD. Age, body mass index, diabetes mellitus, 24-hour systolic blood pressure, 24-hour diastolic blood pressure, greater diastolic morning surge, longer Tp-e interval, and higher NLR were positively associated with definite LVDD. In contrast, greater nocturnal systolic dipping was inversely associated with LVDD, indicating that attenuated nocturnal dipping was associated with higher odds of definite LVDD.</w:t>
      </w:r>
      <w:proofErr w:type="gramEnd"/>
    </w:p>
    <w:p w:rsidR="005D723A" w:rsidRPr="006E0F91" w:rsidRDefault="005D723A" w:rsidP="003F4187">
      <w:pPr>
        <w:pStyle w:val="NormalWeb"/>
        <w:ind w:firstLine="708"/>
        <w:jc w:val="both"/>
        <w:rPr>
          <w:color w:val="000000" w:themeColor="text1"/>
        </w:rPr>
      </w:pPr>
      <w:proofErr w:type="gramStart"/>
      <w:r w:rsidRPr="006E0F91">
        <w:rPr>
          <w:color w:val="000000" w:themeColor="text1"/>
        </w:rPr>
        <w:t>The reported model intercept was −18.500. The strongest domain-specific signals in the final model were DMS, Tp-e interval, and NLR, supporting the main study hypothesis that circadian diastolic hemodynamic stress, ventricular repolarization heterogeneity, and systemic inflammatory activation provide complementary cross-sectional discriminatory information for definite echocardiographic LVDD.</w:t>
      </w:r>
      <w:proofErr w:type="gramEnd"/>
    </w:p>
    <w:p w:rsidR="005D723A" w:rsidRPr="006E0F91" w:rsidRDefault="005D723A" w:rsidP="00266D66">
      <w:pPr>
        <w:pStyle w:val="Balk3"/>
        <w:jc w:val="both"/>
        <w:rPr>
          <w:rFonts w:ascii="Times New Roman" w:hAnsi="Times New Roman" w:cs="Times New Roman"/>
          <w:b w:val="0"/>
          <w:i/>
          <w:color w:val="000000" w:themeColor="text1"/>
          <w:sz w:val="24"/>
          <w:szCs w:val="24"/>
        </w:rPr>
      </w:pPr>
      <w:r w:rsidRPr="006E0F91">
        <w:rPr>
          <w:rFonts w:ascii="Times New Roman" w:hAnsi="Times New Roman" w:cs="Times New Roman"/>
          <w:b w:val="0"/>
          <w:i/>
          <w:color w:val="000000" w:themeColor="text1"/>
          <w:sz w:val="24"/>
          <w:szCs w:val="24"/>
        </w:rPr>
        <w:t>Indeterminate diastolic function compared with definite normal diastolic function</w:t>
      </w:r>
    </w:p>
    <w:p w:rsidR="005D723A" w:rsidRPr="006E0F91" w:rsidRDefault="005D723A" w:rsidP="003F4187">
      <w:pPr>
        <w:pStyle w:val="NormalWeb"/>
        <w:ind w:firstLine="708"/>
        <w:jc w:val="both"/>
        <w:rPr>
          <w:color w:val="000000" w:themeColor="text1"/>
        </w:rPr>
      </w:pPr>
      <w:r w:rsidRPr="006E0F91">
        <w:rPr>
          <w:color w:val="000000" w:themeColor="text1"/>
        </w:rPr>
        <w:t>Compared with participants with definite normal diastolic function, individuals with indeterminate diastolic function showed broadly similar demographic and clinical characteristics. Age, body mass index, sex distribution, hypertension history, diabetes mellitus, current smoking, pack-years, mean 24-hour systolic blood pressure, mean 24-hour diastolic blood pressure, daytime blood pressure, nighttime diastolic blood pressure, nocturnal dipping, DMS, SMS, NLR, creatinine, glucose, and HbA1c were generally similar between groups.</w:t>
      </w:r>
    </w:p>
    <w:p w:rsidR="005D723A" w:rsidRPr="006E0F91" w:rsidRDefault="005D723A" w:rsidP="003F4187">
      <w:pPr>
        <w:pStyle w:val="NormalWeb"/>
        <w:ind w:firstLine="708"/>
        <w:jc w:val="both"/>
        <w:rPr>
          <w:color w:val="000000" w:themeColor="text1"/>
        </w:rPr>
      </w:pPr>
      <w:r w:rsidRPr="006E0F91">
        <w:rPr>
          <w:color w:val="000000" w:themeColor="text1"/>
        </w:rPr>
        <w:t>However, some echocardiographic parameters differed, consistent with the expected intermediate nature of the indeterminate category. Participants with indeterminate diastolic function had lower E/A ratio, lower septal and lateral e′ velocities, higher LAVI, higher TR velocity, and higher relative wall thickness than those with definite normal diastolic function. Tp-e interval and QTc were also modestly higher in the indeterminate group, although most differences were smaller than those observed between definite normal diastolic function and definite LVDD.</w:t>
      </w:r>
    </w:p>
    <w:p w:rsidR="005D723A" w:rsidRPr="006E0F91" w:rsidRDefault="005D723A" w:rsidP="003F4187">
      <w:pPr>
        <w:pStyle w:val="NormalWeb"/>
        <w:ind w:firstLine="708"/>
        <w:jc w:val="both"/>
        <w:rPr>
          <w:color w:val="000000" w:themeColor="text1"/>
        </w:rPr>
      </w:pPr>
      <w:r w:rsidRPr="006E0F91">
        <w:rPr>
          <w:color w:val="000000" w:themeColor="text1"/>
        </w:rPr>
        <w:t xml:space="preserve">Overall, the indeterminate subgroup appeared closer to the definite normal group in clinical, ambulatory hemodynamic, and inflammatory </w:t>
      </w:r>
      <w:proofErr w:type="gramStart"/>
      <w:r w:rsidRPr="006E0F91">
        <w:rPr>
          <w:color w:val="000000" w:themeColor="text1"/>
        </w:rPr>
        <w:t>profile</w:t>
      </w:r>
      <w:proofErr w:type="gramEnd"/>
      <w:r w:rsidRPr="006E0F91">
        <w:rPr>
          <w:color w:val="000000" w:themeColor="text1"/>
        </w:rPr>
        <w:t>, while showing intermediate echocardiographic characteristics.</w:t>
      </w:r>
    </w:p>
    <w:p w:rsidR="005D723A" w:rsidRPr="006E0F91" w:rsidRDefault="005D723A" w:rsidP="00266D66">
      <w:pPr>
        <w:pStyle w:val="Balk3"/>
        <w:jc w:val="both"/>
        <w:rPr>
          <w:rFonts w:ascii="Times New Roman" w:hAnsi="Times New Roman" w:cs="Times New Roman"/>
          <w:b w:val="0"/>
          <w:i/>
          <w:color w:val="000000" w:themeColor="text1"/>
          <w:sz w:val="24"/>
          <w:szCs w:val="24"/>
        </w:rPr>
      </w:pPr>
      <w:r w:rsidRPr="006E0F91">
        <w:rPr>
          <w:rFonts w:ascii="Times New Roman" w:hAnsi="Times New Roman" w:cs="Times New Roman"/>
          <w:b w:val="0"/>
          <w:i/>
          <w:color w:val="000000" w:themeColor="text1"/>
          <w:sz w:val="24"/>
          <w:szCs w:val="24"/>
        </w:rPr>
        <w:t>Indeterminate diastolic function compared with definite LVDD</w:t>
      </w:r>
    </w:p>
    <w:p w:rsidR="005D723A" w:rsidRPr="006E0F91" w:rsidRDefault="005D723A" w:rsidP="003F4187">
      <w:pPr>
        <w:pStyle w:val="NormalWeb"/>
        <w:ind w:firstLine="708"/>
        <w:jc w:val="both"/>
        <w:rPr>
          <w:color w:val="000000" w:themeColor="text1"/>
        </w:rPr>
      </w:pPr>
      <w:r w:rsidRPr="006E0F91">
        <w:rPr>
          <w:color w:val="000000" w:themeColor="text1"/>
        </w:rPr>
        <w:t xml:space="preserve">Compared with participants with definite LVDD, individuals with indeterminate diastolic function showed a substantially less adverse </w:t>
      </w:r>
      <w:proofErr w:type="gramStart"/>
      <w:r w:rsidRPr="006E0F91">
        <w:rPr>
          <w:color w:val="000000" w:themeColor="text1"/>
        </w:rPr>
        <w:t>profile</w:t>
      </w:r>
      <w:proofErr w:type="gramEnd"/>
      <w:r w:rsidRPr="006E0F91">
        <w:rPr>
          <w:color w:val="000000" w:themeColor="text1"/>
        </w:rPr>
        <w:t xml:space="preserve">. Hypertension history and diabetes mellitus were less frequent in the indeterminate group. Ambulatory hemodynamic burden was also lower, including lower 24-hour DBP, daytime SBP, daytime DBP, nighttime SBP, nighttime DBP, DBP load, DBP ARV, DMS, and SMS. Nocturnal systolic dipping was greater in the indeterminate group, indicating a more preserved circadian blood pressure </w:t>
      </w:r>
      <w:proofErr w:type="gramStart"/>
      <w:r w:rsidRPr="006E0F91">
        <w:rPr>
          <w:color w:val="000000" w:themeColor="text1"/>
        </w:rPr>
        <w:t>profile</w:t>
      </w:r>
      <w:proofErr w:type="gramEnd"/>
      <w:r w:rsidRPr="006E0F91">
        <w:rPr>
          <w:color w:val="000000" w:themeColor="text1"/>
        </w:rPr>
        <w:t>.</w:t>
      </w:r>
    </w:p>
    <w:p w:rsidR="005D723A" w:rsidRPr="006E0F91" w:rsidRDefault="005D723A" w:rsidP="003F4187">
      <w:pPr>
        <w:pStyle w:val="NormalWeb"/>
        <w:ind w:firstLine="708"/>
        <w:jc w:val="both"/>
        <w:rPr>
          <w:color w:val="000000" w:themeColor="text1"/>
        </w:rPr>
      </w:pPr>
      <w:r w:rsidRPr="006E0F91">
        <w:rPr>
          <w:color w:val="000000" w:themeColor="text1"/>
        </w:rPr>
        <w:lastRenderedPageBreak/>
        <w:t>Echocardiographic differences were also consistent and clinically coherent. Compared with definite LVDD, the indeterminate group had higher E velocity, lower A velocity, higher E/A ratio, shorter deceleration time, higher septal and lateral e′ velocities, lower average E/e′ ratio, lower LAVI, lower TR velocity, lower LVMI, and lower relative wall thickness. Electrocardiographic repolarization markers were also less abnormal in the indeterminate group, with lower Tp-e interval, lower Tp-e/QTc ratio, and lower QT dispersion. NLR was also lower in the indeterminate group.</w:t>
      </w:r>
    </w:p>
    <w:p w:rsidR="005D723A" w:rsidRPr="006E0F91" w:rsidRDefault="005D723A" w:rsidP="003F4187">
      <w:pPr>
        <w:pStyle w:val="NormalWeb"/>
        <w:ind w:firstLine="708"/>
        <w:jc w:val="both"/>
        <w:rPr>
          <w:color w:val="000000" w:themeColor="text1"/>
        </w:rPr>
      </w:pPr>
      <w:r w:rsidRPr="006E0F91">
        <w:rPr>
          <w:color w:val="000000" w:themeColor="text1"/>
        </w:rPr>
        <w:t>These findings support the interpretation that the indeterminate subgroup did not resemble the definite LVDD group in most clinical, ambulatory hemodynamic, echocardiographic, electrocardiographic, or inflammatory features.</w:t>
      </w:r>
    </w:p>
    <w:p w:rsidR="005D723A" w:rsidRPr="006E0F91" w:rsidRDefault="005D723A" w:rsidP="00266D66">
      <w:pPr>
        <w:pStyle w:val="Balk3"/>
        <w:jc w:val="both"/>
        <w:rPr>
          <w:rFonts w:ascii="Times New Roman" w:hAnsi="Times New Roman" w:cs="Times New Roman"/>
          <w:b w:val="0"/>
          <w:i/>
          <w:color w:val="000000" w:themeColor="text1"/>
          <w:sz w:val="24"/>
          <w:szCs w:val="24"/>
        </w:rPr>
      </w:pPr>
      <w:r w:rsidRPr="006E0F91">
        <w:rPr>
          <w:rFonts w:ascii="Times New Roman" w:hAnsi="Times New Roman" w:cs="Times New Roman"/>
          <w:b w:val="0"/>
          <w:i/>
          <w:color w:val="000000" w:themeColor="text1"/>
          <w:sz w:val="24"/>
          <w:szCs w:val="24"/>
        </w:rPr>
        <w:t>Outcome reclassification sensitivity analyses</w:t>
      </w:r>
    </w:p>
    <w:p w:rsidR="005D723A" w:rsidRPr="006E0F91" w:rsidRDefault="005D723A" w:rsidP="003F4187">
      <w:pPr>
        <w:pStyle w:val="NormalWeb"/>
        <w:ind w:firstLine="708"/>
        <w:jc w:val="both"/>
        <w:rPr>
          <w:color w:val="000000" w:themeColor="text1"/>
        </w:rPr>
      </w:pPr>
      <w:r w:rsidRPr="006E0F91">
        <w:rPr>
          <w:color w:val="000000" w:themeColor="text1"/>
        </w:rPr>
        <w:t xml:space="preserve">Model performance remained stable across alternative outcome-classification scenarios. </w:t>
      </w:r>
      <w:proofErr w:type="gramStart"/>
      <w:r w:rsidRPr="006E0F91">
        <w:rPr>
          <w:color w:val="000000" w:themeColor="text1"/>
        </w:rPr>
        <w:t>In the primary analysis excluding indeterminate cases, the apparent AUC was 0.87 and the optimism-corrected AUC was 0.86. When indeterminate cases were reclassified as normal diastolic function, the apparent AUC was 0.86 and the optimism-corrected AUC was 0.85. When indeterminate cases were reclassified as LVDD, the apparent AUC was 0.85 and the optimism-corrected AUC was 0.84.</w:t>
      </w:r>
      <w:proofErr w:type="gramEnd"/>
    </w:p>
    <w:p w:rsidR="005D723A" w:rsidRPr="006E0F91" w:rsidRDefault="005D723A" w:rsidP="003F4187">
      <w:pPr>
        <w:pStyle w:val="NormalWeb"/>
        <w:ind w:firstLine="708"/>
        <w:jc w:val="both"/>
        <w:rPr>
          <w:color w:val="000000" w:themeColor="text1"/>
        </w:rPr>
      </w:pPr>
      <w:r w:rsidRPr="006E0F91">
        <w:rPr>
          <w:color w:val="000000" w:themeColor="text1"/>
        </w:rPr>
        <w:t>Corrected calibration slopes remained close to unity across all scenarios, and calibration intercepts were near zero. Although the Brier score increased when indeterminate cases were classified as LVDD, the overall change in model performance was modest. These findings indicate that exclusion of indeterminate cases did not materially inflate discrimination or compromise calibration.</w:t>
      </w:r>
    </w:p>
    <w:p w:rsidR="005D723A" w:rsidRPr="006E0F91" w:rsidRDefault="005D723A" w:rsidP="00266D66">
      <w:pPr>
        <w:pStyle w:val="Balk3"/>
        <w:jc w:val="both"/>
        <w:rPr>
          <w:rFonts w:ascii="Times New Roman" w:hAnsi="Times New Roman" w:cs="Times New Roman"/>
          <w:b w:val="0"/>
          <w:i/>
          <w:color w:val="000000" w:themeColor="text1"/>
          <w:sz w:val="24"/>
          <w:szCs w:val="24"/>
        </w:rPr>
      </w:pPr>
      <w:r w:rsidRPr="006E0F91">
        <w:rPr>
          <w:rFonts w:ascii="Times New Roman" w:hAnsi="Times New Roman" w:cs="Times New Roman"/>
          <w:b w:val="0"/>
          <w:i/>
          <w:color w:val="000000" w:themeColor="text1"/>
          <w:sz w:val="24"/>
          <w:szCs w:val="24"/>
        </w:rPr>
        <w:t>Detailed stepwise hierarchical model performance</w:t>
      </w:r>
    </w:p>
    <w:p w:rsidR="005D723A" w:rsidRPr="006E0F91" w:rsidRDefault="005D723A" w:rsidP="003F4187">
      <w:pPr>
        <w:pStyle w:val="NormalWeb"/>
        <w:ind w:firstLine="708"/>
        <w:jc w:val="both"/>
        <w:rPr>
          <w:color w:val="000000" w:themeColor="text1"/>
        </w:rPr>
      </w:pPr>
      <w:r w:rsidRPr="006E0F91">
        <w:rPr>
          <w:color w:val="000000" w:themeColor="text1"/>
        </w:rPr>
        <w:t>The detailed stepwise hierarchical modeling sequence showed progressive improvement in discrimination after sequential addition of ambulatory hemodynamic, circadian, electrocardiographic, and inflammatory domains. The clinical model demonstrated moderate discrimination, with an AUC of 0.72. Addition of 24-hour systolic blood pressure, 24-hour diastolic blood pressure, and nocturnal systolic dipping improved the AUC to 0.77.</w:t>
      </w:r>
    </w:p>
    <w:p w:rsidR="005D723A" w:rsidRPr="006E0F91" w:rsidRDefault="005D723A" w:rsidP="003F4187">
      <w:pPr>
        <w:pStyle w:val="NormalWeb"/>
        <w:ind w:firstLine="708"/>
        <w:jc w:val="both"/>
        <w:rPr>
          <w:color w:val="000000" w:themeColor="text1"/>
        </w:rPr>
      </w:pPr>
      <w:r w:rsidRPr="006E0F91">
        <w:rPr>
          <w:color w:val="000000" w:themeColor="text1"/>
        </w:rPr>
        <w:t>Further addition of DMS increased the AUC to 0.81, supporting the incremental contribution of circadian diastolic hemodynamic stress beyond mean ambulatory pressure burden and nocturnal dipping. Addition of Tp-e interval further improved the AUC to 0.85, indicating that ventricular repolarization heterogeneity contributed additional discriminatory information. Incorporation of NLR increased the AUC to 0.87, with a Brier score of 0.113 and calibration slope of 1.00.</w:t>
      </w:r>
    </w:p>
    <w:p w:rsidR="005D723A" w:rsidRPr="006E0F91" w:rsidRDefault="005D723A" w:rsidP="003F4187">
      <w:pPr>
        <w:pStyle w:val="NormalWeb"/>
        <w:ind w:firstLine="708"/>
        <w:jc w:val="both"/>
        <w:rPr>
          <w:color w:val="000000" w:themeColor="text1"/>
        </w:rPr>
      </w:pPr>
      <w:r w:rsidRPr="006E0F91">
        <w:rPr>
          <w:color w:val="000000" w:themeColor="text1"/>
        </w:rPr>
        <w:t>Bootstrap internal validation of the final prespecified model showed an optimism-corrected AUC of 0.86 and corrected calibration slope of 0.97, indicating stable discrimination and calibration with limited evidence of overfitting. Addition of SMS increased the AUC only modestly to 0.88 and did not significantly improve discrimination.</w:t>
      </w:r>
    </w:p>
    <w:p w:rsidR="005D723A" w:rsidRPr="006E0F91" w:rsidRDefault="005D723A" w:rsidP="00266D66">
      <w:pPr>
        <w:pStyle w:val="Balk3"/>
        <w:jc w:val="both"/>
        <w:rPr>
          <w:rFonts w:ascii="Times New Roman" w:hAnsi="Times New Roman" w:cs="Times New Roman"/>
          <w:b w:val="0"/>
          <w:i/>
          <w:color w:val="000000" w:themeColor="text1"/>
          <w:sz w:val="24"/>
          <w:szCs w:val="24"/>
        </w:rPr>
      </w:pPr>
      <w:r w:rsidRPr="006E0F91">
        <w:rPr>
          <w:rFonts w:ascii="Times New Roman" w:hAnsi="Times New Roman" w:cs="Times New Roman"/>
          <w:b w:val="0"/>
          <w:i/>
          <w:color w:val="000000" w:themeColor="text1"/>
          <w:sz w:val="24"/>
          <w:szCs w:val="24"/>
        </w:rPr>
        <w:lastRenderedPageBreak/>
        <w:t>Exploratory centered interaction analyses</w:t>
      </w:r>
    </w:p>
    <w:p w:rsidR="005D723A" w:rsidRPr="006E0F91" w:rsidRDefault="005D723A" w:rsidP="003F4187">
      <w:pPr>
        <w:pStyle w:val="NormalWeb"/>
        <w:ind w:firstLine="708"/>
        <w:jc w:val="both"/>
        <w:rPr>
          <w:color w:val="000000" w:themeColor="text1"/>
        </w:rPr>
      </w:pPr>
      <w:r w:rsidRPr="006E0F91">
        <w:rPr>
          <w:color w:val="000000" w:themeColor="text1"/>
        </w:rPr>
        <w:t xml:space="preserve">In the exploratory interaction model, both centered interaction terms were statistically significant. </w:t>
      </w:r>
      <w:proofErr w:type="gramStart"/>
      <w:r w:rsidRPr="006E0F91">
        <w:rPr>
          <w:color w:val="000000" w:themeColor="text1"/>
        </w:rPr>
        <w:t>The interaction between centered DMS and centered Tp-e interval was associated with definite LVDD, with an adjusted odds ratio of 1.015 and p value of 0.001. The interaction between centered DMS and centered NLR was also significant, with an adjusted odds ratio of 1.09 and p value of 0.012.</w:t>
      </w:r>
      <w:proofErr w:type="gramEnd"/>
    </w:p>
    <w:p w:rsidR="005D723A" w:rsidRPr="006E0F91" w:rsidRDefault="005D723A" w:rsidP="003F4187">
      <w:pPr>
        <w:pStyle w:val="NormalWeb"/>
        <w:ind w:firstLine="708"/>
        <w:jc w:val="both"/>
        <w:rPr>
          <w:color w:val="000000" w:themeColor="text1"/>
        </w:rPr>
      </w:pPr>
      <w:r w:rsidRPr="006E0F91">
        <w:rPr>
          <w:color w:val="000000" w:themeColor="text1"/>
        </w:rPr>
        <w:t xml:space="preserve">Adding these interaction terms increased AUC from 0.87 to 0.89, with a ΔAUC of +0.02. This improvement was statistically significant by DeLong testing. The interaction model also improved model fit on likelihood ratio testing, with LR χ² = </w:t>
      </w:r>
      <w:proofErr w:type="gramStart"/>
      <w:r w:rsidRPr="006E0F91">
        <w:rPr>
          <w:color w:val="000000" w:themeColor="text1"/>
        </w:rPr>
        <w:t>6.2</w:t>
      </w:r>
      <w:proofErr w:type="gramEnd"/>
      <w:r w:rsidRPr="006E0F91">
        <w:rPr>
          <w:color w:val="000000" w:themeColor="text1"/>
        </w:rPr>
        <w:t>, df = 2, and p = 0.041.</w:t>
      </w:r>
    </w:p>
    <w:p w:rsidR="005D723A" w:rsidRPr="006E0F91" w:rsidRDefault="005D723A" w:rsidP="003F4187">
      <w:pPr>
        <w:pStyle w:val="NormalWeb"/>
        <w:ind w:firstLine="708"/>
        <w:jc w:val="both"/>
        <w:rPr>
          <w:color w:val="000000" w:themeColor="text1"/>
        </w:rPr>
      </w:pPr>
      <w:r w:rsidRPr="006E0F91">
        <w:rPr>
          <w:color w:val="000000" w:themeColor="text1"/>
        </w:rPr>
        <w:t>These findings suggest that the associations of repolarization heterogeneity and inflammatory activation with definite LVDD may be stronger in the setting of greater diastolic morning hemodynamic stress. However, because these analyses were exploratory, they should be interpreted as hypothesis-generating rather than as definitive evidence of biological synergy.</w:t>
      </w:r>
    </w:p>
    <w:p w:rsidR="005D723A" w:rsidRPr="006E0F91" w:rsidRDefault="005D723A" w:rsidP="00266D66">
      <w:pPr>
        <w:pStyle w:val="Balk3"/>
        <w:jc w:val="both"/>
        <w:rPr>
          <w:rFonts w:ascii="Times New Roman" w:hAnsi="Times New Roman" w:cs="Times New Roman"/>
          <w:b w:val="0"/>
          <w:i/>
          <w:color w:val="000000" w:themeColor="text1"/>
          <w:sz w:val="24"/>
          <w:szCs w:val="24"/>
        </w:rPr>
      </w:pPr>
      <w:r w:rsidRPr="006E0F91">
        <w:rPr>
          <w:rFonts w:ascii="Times New Roman" w:hAnsi="Times New Roman" w:cs="Times New Roman"/>
          <w:b w:val="0"/>
          <w:i/>
          <w:color w:val="000000" w:themeColor="text1"/>
          <w:sz w:val="24"/>
          <w:szCs w:val="24"/>
        </w:rPr>
        <w:t>Sensitivity analysis incorporating systolic morning surge</w:t>
      </w:r>
    </w:p>
    <w:p w:rsidR="005D723A" w:rsidRPr="006E0F91" w:rsidRDefault="005D723A" w:rsidP="003F4187">
      <w:pPr>
        <w:pStyle w:val="NormalWeb"/>
        <w:ind w:firstLine="708"/>
        <w:jc w:val="both"/>
        <w:rPr>
          <w:color w:val="000000" w:themeColor="text1"/>
        </w:rPr>
      </w:pPr>
      <w:r w:rsidRPr="006E0F91">
        <w:rPr>
          <w:color w:val="000000" w:themeColor="text1"/>
        </w:rPr>
        <w:t xml:space="preserve">The sensitivity model incorporating SMS showed only a modest increase in discrimination beyond the final multidomain model. The AUC increased from 0.87 to 0.88, corresponding to a ΔAUC of +0.01, but this change was not statistically significant. SMS showed a modest positive adjusted effect estimate, with an adjusted odds ratio of 1.03 and p value of 0.08. The variance inflation factor for SMS was </w:t>
      </w:r>
      <w:proofErr w:type="gramStart"/>
      <w:r w:rsidRPr="006E0F91">
        <w:rPr>
          <w:color w:val="000000" w:themeColor="text1"/>
        </w:rPr>
        <w:t>2.9</w:t>
      </w:r>
      <w:proofErr w:type="gramEnd"/>
      <w:r w:rsidRPr="006E0F91">
        <w:rPr>
          <w:color w:val="000000" w:themeColor="text1"/>
        </w:rPr>
        <w:t>, indicating no severe collinearity.</w:t>
      </w:r>
    </w:p>
    <w:p w:rsidR="005D723A" w:rsidRPr="006E0F91" w:rsidRDefault="005D723A" w:rsidP="003F4187">
      <w:pPr>
        <w:pStyle w:val="NormalWeb"/>
        <w:ind w:firstLine="708"/>
        <w:jc w:val="both"/>
        <w:rPr>
          <w:color w:val="000000" w:themeColor="text1"/>
        </w:rPr>
      </w:pPr>
      <w:r w:rsidRPr="006E0F91">
        <w:rPr>
          <w:color w:val="000000" w:themeColor="text1"/>
        </w:rPr>
        <w:t>Brier score and calibration slope changed only minimally after addition of SMS. Therefore, SMS was not retained in the final parsimonious model. These findings support the primary modeling decision to prioritize DMS as the circadian hemodynamic marker in the final multidomain framework.</w:t>
      </w:r>
    </w:p>
    <w:p w:rsidR="00F658D6" w:rsidRPr="006E0F91" w:rsidRDefault="00F658D6" w:rsidP="00266D66">
      <w:pPr>
        <w:pStyle w:val="Balk2"/>
        <w:jc w:val="both"/>
        <w:rPr>
          <w:color w:val="000000" w:themeColor="text1"/>
          <w:sz w:val="24"/>
          <w:szCs w:val="24"/>
        </w:rPr>
      </w:pPr>
      <w:r w:rsidRPr="006E0F91">
        <w:rPr>
          <w:color w:val="000000" w:themeColor="text1"/>
          <w:sz w:val="24"/>
          <w:szCs w:val="24"/>
        </w:rPr>
        <w:t>Supplementary Table S1. Full coefficients and intercept of the final multidomain model</w:t>
      </w:r>
    </w:p>
    <w:tbl>
      <w:tblPr>
        <w:tblW w:w="0" w:type="auto"/>
        <w:tblCellSpacing w:w="15" w:type="dxa"/>
        <w:tblCellMar>
          <w:top w:w="15" w:type="dxa"/>
          <w:left w:w="15" w:type="dxa"/>
          <w:bottom w:w="15" w:type="dxa"/>
          <w:right w:w="15" w:type="dxa"/>
        </w:tblCellMar>
        <w:tblLook w:val="04A0"/>
      </w:tblPr>
      <w:tblGrid>
        <w:gridCol w:w="1536"/>
        <w:gridCol w:w="1093"/>
        <w:gridCol w:w="1410"/>
        <w:gridCol w:w="1523"/>
        <w:gridCol w:w="692"/>
      </w:tblGrid>
      <w:tr w:rsidR="005D723A" w:rsidRPr="006E0F91" w:rsidTr="006E0F91">
        <w:trPr>
          <w:tblHeader/>
          <w:tblCellSpacing w:w="15" w:type="dxa"/>
        </w:trPr>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Variable</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β coefficient</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Standard Error</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OR (95% CI)</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proofErr w:type="gramStart"/>
            <w:r w:rsidRPr="006E0F91">
              <w:rPr>
                <w:rFonts w:ascii="Times New Roman" w:hAnsi="Times New Roman" w:cs="Times New Roman"/>
                <w:b/>
                <w:bCs/>
                <w:color w:val="000000" w:themeColor="text1"/>
                <w:sz w:val="20"/>
                <w:szCs w:val="20"/>
              </w:rPr>
              <w:t>p</w:t>
            </w:r>
            <w:proofErr w:type="gramEnd"/>
            <w:r w:rsidRPr="006E0F91">
              <w:rPr>
                <w:rFonts w:ascii="Times New Roman" w:hAnsi="Times New Roman" w:cs="Times New Roman"/>
                <w:b/>
                <w:bCs/>
                <w:color w:val="000000" w:themeColor="text1"/>
                <w:sz w:val="20"/>
                <w:szCs w:val="20"/>
              </w:rPr>
              <w:t xml:space="preserve"> value</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Intercept</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Style w:val="Gl"/>
                <w:rFonts w:ascii="Times New Roman" w:hAnsi="Times New Roman" w:cs="Times New Roman"/>
                <w:color w:val="000000" w:themeColor="text1"/>
                <w:sz w:val="20"/>
                <w:szCs w:val="20"/>
              </w:rPr>
              <w:t>−18.500</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Age</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0.068</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0.019</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1.07 (1.04–1.12)</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&lt;0.001</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BMI</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0.073</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0.029</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1.076 (1.05–1.17)</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0.012</w:t>
            </w:r>
          </w:p>
        </w:tc>
      </w:tr>
      <w:tr w:rsidR="00235B19" w:rsidRPr="006E0F91" w:rsidTr="006E0F91">
        <w:trPr>
          <w:tblCellSpacing w:w="15" w:type="dxa"/>
        </w:trPr>
        <w:tc>
          <w:tcPr>
            <w:tcW w:w="0" w:type="auto"/>
            <w:vAlign w:val="center"/>
            <w:hideMark/>
          </w:tcPr>
          <w:p w:rsidR="00235B19" w:rsidRPr="006E0F91" w:rsidRDefault="00235B19" w:rsidP="00266D66">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Male sex</w:t>
            </w:r>
          </w:p>
        </w:tc>
        <w:tc>
          <w:tcPr>
            <w:tcW w:w="0" w:type="auto"/>
            <w:vAlign w:val="center"/>
            <w:hideMark/>
          </w:tcPr>
          <w:p w:rsidR="00235B19" w:rsidRPr="006E0F91" w:rsidRDefault="003D6AF9" w:rsidP="00266D66">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0.1</w:t>
            </w:r>
            <w:r w:rsidR="00E91AA6">
              <w:rPr>
                <w:rFonts w:ascii="Times New Roman" w:hAnsi="Times New Roman" w:cs="Times New Roman"/>
                <w:color w:val="000000" w:themeColor="text1"/>
                <w:sz w:val="20"/>
                <w:szCs w:val="20"/>
              </w:rPr>
              <w:t>34</w:t>
            </w:r>
          </w:p>
        </w:tc>
        <w:tc>
          <w:tcPr>
            <w:tcW w:w="0" w:type="auto"/>
            <w:vAlign w:val="center"/>
            <w:hideMark/>
          </w:tcPr>
          <w:p w:rsidR="00235B19" w:rsidRPr="006E0F91" w:rsidRDefault="003D6AF9" w:rsidP="00266D66">
            <w:pPr>
              <w:spacing w:after="0" w:line="240" w:lineRule="auto"/>
              <w:jc w:val="both"/>
              <w:rPr>
                <w:rFonts w:ascii="Times New Roman" w:hAnsi="Times New Roman" w:cs="Times New Roman"/>
                <w:color w:val="000000" w:themeColor="text1"/>
                <w:sz w:val="20"/>
                <w:szCs w:val="20"/>
              </w:rPr>
            </w:pPr>
            <w:r>
              <w:t>0.</w:t>
            </w:r>
            <w:r w:rsidR="00E91AA6">
              <w:t>199</w:t>
            </w:r>
          </w:p>
        </w:tc>
        <w:tc>
          <w:tcPr>
            <w:tcW w:w="0" w:type="auto"/>
            <w:vAlign w:val="center"/>
            <w:hideMark/>
          </w:tcPr>
          <w:p w:rsidR="00235B19" w:rsidRPr="006E0F91" w:rsidRDefault="00137843" w:rsidP="00266D66">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1.12</w:t>
            </w:r>
            <w:r w:rsidR="003D6AF9">
              <w:rPr>
                <w:rFonts w:ascii="Times New Roman" w:hAnsi="Times New Roman" w:cs="Times New Roman"/>
                <w:color w:val="000000" w:themeColor="text1"/>
                <w:sz w:val="20"/>
                <w:szCs w:val="20"/>
              </w:rPr>
              <w:t xml:space="preserve"> (</w:t>
            </w:r>
            <w:r w:rsidR="003D6AF9">
              <w:t>0.75–1.71)</w:t>
            </w:r>
          </w:p>
        </w:tc>
        <w:tc>
          <w:tcPr>
            <w:tcW w:w="0" w:type="auto"/>
            <w:vAlign w:val="center"/>
            <w:hideMark/>
          </w:tcPr>
          <w:p w:rsidR="00235B19" w:rsidRPr="006E0F91" w:rsidRDefault="00B6054C" w:rsidP="00266D66">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w:t>
            </w:r>
            <w:r w:rsidR="00E91AA6">
              <w:rPr>
                <w:rFonts w:ascii="Times New Roman" w:hAnsi="Times New Roman" w:cs="Times New Roman"/>
                <w:color w:val="000000" w:themeColor="text1"/>
                <w:sz w:val="20"/>
                <w:szCs w:val="20"/>
              </w:rPr>
              <w:t>51</w:t>
            </w:r>
            <w:r w:rsidR="00137843">
              <w:rPr>
                <w:rFonts w:ascii="Times New Roman" w:hAnsi="Times New Roman" w:cs="Times New Roman"/>
                <w:color w:val="000000" w:themeColor="text1"/>
                <w:sz w:val="20"/>
                <w:szCs w:val="20"/>
              </w:rPr>
              <w:t>0</w:t>
            </w:r>
          </w:p>
        </w:tc>
      </w:tr>
      <w:tr w:rsidR="000670BA" w:rsidRPr="006E0F91" w:rsidTr="006E0F91">
        <w:trPr>
          <w:tblCellSpacing w:w="15" w:type="dxa"/>
        </w:trPr>
        <w:tc>
          <w:tcPr>
            <w:tcW w:w="0" w:type="auto"/>
            <w:vAlign w:val="center"/>
            <w:hideMark/>
          </w:tcPr>
          <w:p w:rsidR="000670BA" w:rsidRDefault="007730F2" w:rsidP="00266D66">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Current smoking</w:t>
            </w:r>
          </w:p>
        </w:tc>
        <w:tc>
          <w:tcPr>
            <w:tcW w:w="0" w:type="auto"/>
            <w:vAlign w:val="center"/>
            <w:hideMark/>
          </w:tcPr>
          <w:p w:rsidR="000670BA" w:rsidRDefault="00997028" w:rsidP="00266D66">
            <w:pPr>
              <w:spacing w:after="0" w:line="240" w:lineRule="auto"/>
              <w:jc w:val="both"/>
              <w:rPr>
                <w:rFonts w:ascii="Times New Roman" w:hAnsi="Times New Roman" w:cs="Times New Roman"/>
                <w:color w:val="000000" w:themeColor="text1"/>
                <w:sz w:val="20"/>
                <w:szCs w:val="20"/>
              </w:rPr>
            </w:pPr>
            <w:r>
              <w:t>0.073</w:t>
            </w:r>
          </w:p>
        </w:tc>
        <w:tc>
          <w:tcPr>
            <w:tcW w:w="0" w:type="auto"/>
            <w:vAlign w:val="center"/>
            <w:hideMark/>
          </w:tcPr>
          <w:p w:rsidR="000670BA" w:rsidRDefault="00997028" w:rsidP="00266D66">
            <w:pPr>
              <w:spacing w:after="0" w:line="240" w:lineRule="auto"/>
              <w:jc w:val="both"/>
            </w:pPr>
            <w:r>
              <w:t>0.191</w:t>
            </w:r>
          </w:p>
        </w:tc>
        <w:tc>
          <w:tcPr>
            <w:tcW w:w="0" w:type="auto"/>
            <w:vAlign w:val="center"/>
            <w:hideMark/>
          </w:tcPr>
          <w:p w:rsidR="000670BA" w:rsidRDefault="00997028" w:rsidP="00266D66">
            <w:pPr>
              <w:spacing w:after="0" w:line="240" w:lineRule="auto"/>
              <w:jc w:val="both"/>
              <w:rPr>
                <w:rFonts w:ascii="Times New Roman" w:hAnsi="Times New Roman" w:cs="Times New Roman"/>
                <w:color w:val="000000" w:themeColor="text1"/>
                <w:sz w:val="20"/>
                <w:szCs w:val="20"/>
              </w:rPr>
            </w:pPr>
            <w:r>
              <w:t>1.08 (0.74–1.56)</w:t>
            </w:r>
          </w:p>
        </w:tc>
        <w:tc>
          <w:tcPr>
            <w:tcW w:w="0" w:type="auto"/>
            <w:vAlign w:val="center"/>
            <w:hideMark/>
          </w:tcPr>
          <w:p w:rsidR="000670BA" w:rsidRDefault="00997028" w:rsidP="00266D66">
            <w:pPr>
              <w:spacing w:after="0" w:line="240" w:lineRule="auto"/>
              <w:jc w:val="both"/>
              <w:rPr>
                <w:rFonts w:ascii="Times New Roman" w:hAnsi="Times New Roman" w:cs="Times New Roman"/>
                <w:color w:val="000000" w:themeColor="text1"/>
                <w:sz w:val="20"/>
                <w:szCs w:val="20"/>
              </w:rPr>
            </w:pPr>
            <w:r>
              <w:t>0.700</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Diabetes mellitus</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0.724</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0.290</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2.06 (1.15–3.59)</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0.015</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24h SBP</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0.030</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0.011</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1.03 (1.01–1.06)</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0.002</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24h DBP</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0.058</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0.020</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1.06 (1.01–1.11)</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0.018</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Nocturnal dipping</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−0.083</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0.020</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0.92 (0.89–0.97)</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0.001</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DMS</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0.113</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0.029</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1.12 (1.05–1.18)</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&lt;0.001</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Tp-e</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0.077</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0.017</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1.08 (1.04–1.11)</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&lt;0.001</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NLR</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0.343</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0.100</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1.41 (1.17–1.71)</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&lt;0.001</w:t>
            </w:r>
          </w:p>
        </w:tc>
      </w:tr>
    </w:tbl>
    <w:p w:rsidR="005D723A" w:rsidRPr="006E0F91" w:rsidRDefault="005D723A" w:rsidP="00266D66">
      <w:pPr>
        <w:spacing w:before="100" w:beforeAutospacing="1" w:after="100" w:afterAutospacing="1" w:line="240" w:lineRule="auto"/>
        <w:jc w:val="both"/>
        <w:outlineLvl w:val="1"/>
        <w:rPr>
          <w:rFonts w:ascii="Times New Roman" w:eastAsia="Times New Roman" w:hAnsi="Times New Roman" w:cs="Times New Roman"/>
          <w:b/>
          <w:bCs/>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Interaction Model Coefficients</w:t>
      </w:r>
    </w:p>
    <w:p w:rsidR="005D723A"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lastRenderedPageBreak/>
        <w:t>DMS × Tp-e interaction β = ln(1.015) ≈ 0.015</w:t>
      </w:r>
      <w:r w:rsidRPr="006E0F91">
        <w:rPr>
          <w:rFonts w:ascii="Times New Roman" w:eastAsia="Times New Roman" w:hAnsi="Times New Roman" w:cs="Times New Roman"/>
          <w:color w:val="000000" w:themeColor="text1"/>
          <w:sz w:val="20"/>
          <w:szCs w:val="20"/>
          <w:lang w:eastAsia="tr-TR"/>
        </w:rPr>
        <w:br/>
        <w:t>DMS × NLR interaction β = ln(1.09) ≈ 0.086</w:t>
      </w:r>
    </w:p>
    <w:p w:rsidR="00F658D6" w:rsidRPr="00F658D6" w:rsidRDefault="00F658D6" w:rsidP="00266D66">
      <w:pPr>
        <w:pStyle w:val="NormalWeb"/>
        <w:jc w:val="both"/>
        <w:rPr>
          <w:color w:val="000000" w:themeColor="text1"/>
          <w:sz w:val="20"/>
          <w:szCs w:val="20"/>
        </w:rPr>
      </w:pPr>
      <w:r w:rsidRPr="00F658D6">
        <w:rPr>
          <w:rStyle w:val="Gl"/>
          <w:rFonts w:eastAsiaTheme="majorEastAsia"/>
          <w:color w:val="000000" w:themeColor="text1"/>
          <w:sz w:val="20"/>
          <w:szCs w:val="20"/>
        </w:rPr>
        <w:t>Abbreviations:</w:t>
      </w:r>
      <w:r w:rsidRPr="00F658D6">
        <w:rPr>
          <w:color w:val="000000" w:themeColor="text1"/>
          <w:sz w:val="20"/>
          <w:szCs w:val="20"/>
        </w:rPr>
        <w:br/>
        <w:t>BMI, body mass index; CI, confidence interval; DBP, diastolic blood pressure; DMS, diastolic morning surge; LVDD, left ventricular diastolic dysfunction; NLR, neutrophil-to-lymphocyte ratio; OR, odds ratio; SBP, systolic blood pressure; SE, standard error; Tp-e, T-peak–to–T-end interval.</w:t>
      </w:r>
    </w:p>
    <w:p w:rsidR="00F658D6" w:rsidRPr="00F658D6" w:rsidRDefault="00F658D6" w:rsidP="00266D66">
      <w:pPr>
        <w:pStyle w:val="NormalWeb"/>
        <w:jc w:val="both"/>
        <w:rPr>
          <w:color w:val="000000" w:themeColor="text1"/>
          <w:sz w:val="20"/>
          <w:szCs w:val="20"/>
        </w:rPr>
      </w:pPr>
      <w:r w:rsidRPr="00F658D6">
        <w:rPr>
          <w:rStyle w:val="Gl"/>
          <w:rFonts w:eastAsiaTheme="majorEastAsia"/>
          <w:color w:val="000000" w:themeColor="text1"/>
          <w:sz w:val="20"/>
          <w:szCs w:val="20"/>
        </w:rPr>
        <w:t>Footnote:</w:t>
      </w:r>
      <w:r w:rsidRPr="00F658D6">
        <w:rPr>
          <w:color w:val="000000" w:themeColor="text1"/>
          <w:sz w:val="20"/>
          <w:szCs w:val="20"/>
        </w:rPr>
        <w:br/>
        <w:t>The final multidomain logistic regression model included clinical variables, ambulatory blood pressure parameters, DMS, Tp-e interval, and NLR. Regression coefficients, standard errors, adjusted odds ratios, 95% confidence intervals, and p values are shown. The intercept is reported to allow transparent reconstruction of predicted probabilities. Interaction coefficients are shown separately and were not part of the primary parsimonious model.</w:t>
      </w:r>
    </w:p>
    <w:p w:rsidR="008256AA" w:rsidRPr="006E0F91" w:rsidRDefault="008256AA" w:rsidP="00266D66">
      <w:pPr>
        <w:pStyle w:val="Balk2"/>
        <w:jc w:val="both"/>
        <w:rPr>
          <w:color w:val="000000" w:themeColor="text1"/>
          <w:sz w:val="24"/>
          <w:szCs w:val="24"/>
        </w:rPr>
      </w:pPr>
      <w:r w:rsidRPr="006E0F91">
        <w:rPr>
          <w:color w:val="000000" w:themeColor="text1"/>
          <w:sz w:val="24"/>
          <w:szCs w:val="24"/>
        </w:rPr>
        <w:t>Supplementary Table S2. Baseline characteristics of participants with indeterminate diastolic function versus definite normal diastolic function</w:t>
      </w:r>
    </w:p>
    <w:tbl>
      <w:tblPr>
        <w:tblW w:w="0" w:type="auto"/>
        <w:tblCellSpacing w:w="15" w:type="dxa"/>
        <w:tblLayout w:type="fixed"/>
        <w:tblCellMar>
          <w:top w:w="15" w:type="dxa"/>
          <w:left w:w="15" w:type="dxa"/>
          <w:bottom w:w="15" w:type="dxa"/>
          <w:right w:w="15" w:type="dxa"/>
        </w:tblCellMar>
        <w:tblLook w:val="04A0"/>
      </w:tblPr>
      <w:tblGrid>
        <w:gridCol w:w="1949"/>
        <w:gridCol w:w="1215"/>
        <w:gridCol w:w="1282"/>
        <w:gridCol w:w="844"/>
        <w:gridCol w:w="567"/>
        <w:gridCol w:w="664"/>
        <w:gridCol w:w="922"/>
        <w:gridCol w:w="1521"/>
      </w:tblGrid>
      <w:tr w:rsidR="005D723A" w:rsidRPr="006E0F91" w:rsidTr="006E0F91">
        <w:trPr>
          <w:tblHeader/>
          <w:tblCellSpacing w:w="15" w:type="dxa"/>
        </w:trPr>
        <w:tc>
          <w:tcPr>
            <w:tcW w:w="1904" w:type="dxa"/>
            <w:vAlign w:val="center"/>
            <w:hideMark/>
          </w:tcPr>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Variable</w:t>
            </w:r>
          </w:p>
        </w:tc>
        <w:tc>
          <w:tcPr>
            <w:tcW w:w="1185" w:type="dxa"/>
            <w:vAlign w:val="center"/>
            <w:hideMark/>
          </w:tcPr>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LVDD−</w:t>
            </w:r>
          </w:p>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 xml:space="preserve"> (n=560) </w:t>
            </w:r>
          </w:p>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Mean ± SD</w:t>
            </w:r>
          </w:p>
        </w:tc>
        <w:tc>
          <w:tcPr>
            <w:tcW w:w="1252" w:type="dxa"/>
            <w:vAlign w:val="center"/>
            <w:hideMark/>
          </w:tcPr>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Indeterminate</w:t>
            </w:r>
          </w:p>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 xml:space="preserve"> (n=245) </w:t>
            </w:r>
          </w:p>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Mean ± SD</w:t>
            </w:r>
          </w:p>
        </w:tc>
        <w:tc>
          <w:tcPr>
            <w:tcW w:w="814" w:type="dxa"/>
            <w:vAlign w:val="center"/>
            <w:hideMark/>
          </w:tcPr>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Mean Diff</w:t>
            </w:r>
          </w:p>
        </w:tc>
        <w:tc>
          <w:tcPr>
            <w:tcW w:w="537" w:type="dxa"/>
            <w:vAlign w:val="center"/>
            <w:hideMark/>
          </w:tcPr>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proofErr w:type="gramStart"/>
            <w:r w:rsidRPr="006E0F91">
              <w:rPr>
                <w:rFonts w:ascii="Times New Roman" w:eastAsia="Times New Roman" w:hAnsi="Times New Roman" w:cs="Times New Roman"/>
                <w:b/>
                <w:bCs/>
                <w:color w:val="000000" w:themeColor="text1"/>
                <w:sz w:val="20"/>
                <w:szCs w:val="20"/>
                <w:lang w:eastAsia="tr-TR"/>
              </w:rPr>
              <w:t>t</w:t>
            </w:r>
            <w:proofErr w:type="gramEnd"/>
          </w:p>
        </w:tc>
        <w:tc>
          <w:tcPr>
            <w:tcW w:w="634" w:type="dxa"/>
            <w:vAlign w:val="center"/>
            <w:hideMark/>
          </w:tcPr>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proofErr w:type="gramStart"/>
            <w:r w:rsidRPr="006E0F91">
              <w:rPr>
                <w:rFonts w:ascii="Times New Roman" w:eastAsia="Times New Roman" w:hAnsi="Times New Roman" w:cs="Times New Roman"/>
                <w:b/>
                <w:bCs/>
                <w:color w:val="000000" w:themeColor="text1"/>
                <w:sz w:val="20"/>
                <w:szCs w:val="20"/>
                <w:lang w:eastAsia="tr-TR"/>
              </w:rPr>
              <w:t>p</w:t>
            </w:r>
            <w:proofErr w:type="gramEnd"/>
          </w:p>
        </w:tc>
        <w:tc>
          <w:tcPr>
            <w:tcW w:w="892" w:type="dxa"/>
            <w:vAlign w:val="center"/>
            <w:hideMark/>
          </w:tcPr>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 xml:space="preserve">Cohen’s </w:t>
            </w:r>
          </w:p>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proofErr w:type="gramStart"/>
            <w:r w:rsidRPr="006E0F91">
              <w:rPr>
                <w:rFonts w:ascii="Times New Roman" w:eastAsia="Times New Roman" w:hAnsi="Times New Roman" w:cs="Times New Roman"/>
                <w:b/>
                <w:bCs/>
                <w:color w:val="000000" w:themeColor="text1"/>
                <w:sz w:val="20"/>
                <w:szCs w:val="20"/>
                <w:lang w:eastAsia="tr-TR"/>
              </w:rPr>
              <w:t>d</w:t>
            </w:r>
            <w:proofErr w:type="gramEnd"/>
          </w:p>
        </w:tc>
        <w:tc>
          <w:tcPr>
            <w:tcW w:w="1476" w:type="dxa"/>
            <w:vAlign w:val="center"/>
            <w:hideMark/>
          </w:tcPr>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95% CI</w:t>
            </w:r>
          </w:p>
        </w:tc>
      </w:tr>
      <w:tr w:rsidR="005D723A" w:rsidRPr="006E0F91" w:rsidTr="006E0F91">
        <w:trPr>
          <w:tblCellSpacing w:w="15" w:type="dxa"/>
        </w:trPr>
        <w:tc>
          <w:tcPr>
            <w:tcW w:w="190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Age (years)</w:t>
            </w:r>
          </w:p>
        </w:tc>
        <w:tc>
          <w:tcPr>
            <w:tcW w:w="118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43.2 ± </w:t>
            </w:r>
            <w:proofErr w:type="gramStart"/>
            <w:r w:rsidRPr="006E0F91">
              <w:rPr>
                <w:rFonts w:ascii="Times New Roman" w:eastAsia="Times New Roman" w:hAnsi="Times New Roman" w:cs="Times New Roman"/>
                <w:color w:val="000000" w:themeColor="text1"/>
                <w:sz w:val="20"/>
                <w:szCs w:val="20"/>
                <w:lang w:eastAsia="tr-TR"/>
              </w:rPr>
              <w:t>4.1</w:t>
            </w:r>
            <w:proofErr w:type="gramEnd"/>
          </w:p>
        </w:tc>
        <w:tc>
          <w:tcPr>
            <w:tcW w:w="125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43.5 ± </w:t>
            </w:r>
            <w:proofErr w:type="gramStart"/>
            <w:r w:rsidRPr="006E0F91">
              <w:rPr>
                <w:rFonts w:ascii="Times New Roman" w:eastAsia="Times New Roman" w:hAnsi="Times New Roman" w:cs="Times New Roman"/>
                <w:color w:val="000000" w:themeColor="text1"/>
                <w:sz w:val="20"/>
                <w:szCs w:val="20"/>
                <w:lang w:eastAsia="tr-TR"/>
              </w:rPr>
              <w:t>4.0</w:t>
            </w:r>
            <w:proofErr w:type="gramEnd"/>
          </w:p>
        </w:tc>
        <w:tc>
          <w:tcPr>
            <w:tcW w:w="81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-0.40</w:t>
            </w:r>
          </w:p>
        </w:tc>
        <w:tc>
          <w:tcPr>
            <w:tcW w:w="53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-1.30</w:t>
            </w:r>
          </w:p>
        </w:tc>
        <w:tc>
          <w:tcPr>
            <w:tcW w:w="63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0.196</w:t>
            </w:r>
          </w:p>
        </w:tc>
        <w:tc>
          <w:tcPr>
            <w:tcW w:w="89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-0.10</w:t>
            </w:r>
          </w:p>
        </w:tc>
        <w:tc>
          <w:tcPr>
            <w:tcW w:w="1476"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-1.01–0.21</w:t>
            </w:r>
          </w:p>
        </w:tc>
      </w:tr>
      <w:tr w:rsidR="005D723A" w:rsidRPr="006E0F91" w:rsidTr="006E0F91">
        <w:trPr>
          <w:tblCellSpacing w:w="15" w:type="dxa"/>
        </w:trPr>
        <w:tc>
          <w:tcPr>
            <w:tcW w:w="190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p>
        </w:tc>
        <w:tc>
          <w:tcPr>
            <w:tcW w:w="118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p>
        </w:tc>
        <w:tc>
          <w:tcPr>
            <w:tcW w:w="125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p>
        </w:tc>
        <w:tc>
          <w:tcPr>
            <w:tcW w:w="81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p>
        </w:tc>
        <w:tc>
          <w:tcPr>
            <w:tcW w:w="53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p>
        </w:tc>
        <w:tc>
          <w:tcPr>
            <w:tcW w:w="63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p>
        </w:tc>
        <w:tc>
          <w:tcPr>
            <w:tcW w:w="89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p>
        </w:tc>
        <w:tc>
          <w:tcPr>
            <w:tcW w:w="1476"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p>
        </w:tc>
      </w:tr>
      <w:tr w:rsidR="005D723A" w:rsidRPr="006E0F91" w:rsidTr="006E0F91">
        <w:trPr>
          <w:tblCellSpacing w:w="15" w:type="dxa"/>
        </w:trPr>
        <w:tc>
          <w:tcPr>
            <w:tcW w:w="190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BMI (kg/m²)</w:t>
            </w:r>
          </w:p>
        </w:tc>
        <w:tc>
          <w:tcPr>
            <w:tcW w:w="118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25.4 ± </w:t>
            </w:r>
            <w:proofErr w:type="gramStart"/>
            <w:r w:rsidRPr="006E0F91">
              <w:rPr>
                <w:rFonts w:ascii="Times New Roman" w:eastAsia="Times New Roman" w:hAnsi="Times New Roman" w:cs="Times New Roman"/>
                <w:color w:val="000000" w:themeColor="text1"/>
                <w:sz w:val="20"/>
                <w:szCs w:val="20"/>
                <w:lang w:eastAsia="tr-TR"/>
              </w:rPr>
              <w:t>3.9</w:t>
            </w:r>
            <w:proofErr w:type="gramEnd"/>
          </w:p>
        </w:tc>
        <w:tc>
          <w:tcPr>
            <w:tcW w:w="125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25.2 ± </w:t>
            </w:r>
            <w:proofErr w:type="gramStart"/>
            <w:r w:rsidRPr="006E0F91">
              <w:rPr>
                <w:rFonts w:ascii="Times New Roman" w:eastAsia="Times New Roman" w:hAnsi="Times New Roman" w:cs="Times New Roman"/>
                <w:color w:val="000000" w:themeColor="text1"/>
                <w:sz w:val="20"/>
                <w:szCs w:val="20"/>
                <w:lang w:eastAsia="tr-TR"/>
              </w:rPr>
              <w:t>3.6</w:t>
            </w:r>
            <w:proofErr w:type="gramEnd"/>
          </w:p>
        </w:tc>
        <w:tc>
          <w:tcPr>
            <w:tcW w:w="81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-0.20</w:t>
            </w:r>
          </w:p>
        </w:tc>
        <w:tc>
          <w:tcPr>
            <w:tcW w:w="53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-0.71</w:t>
            </w:r>
          </w:p>
        </w:tc>
        <w:tc>
          <w:tcPr>
            <w:tcW w:w="63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0.480</w:t>
            </w:r>
          </w:p>
        </w:tc>
        <w:tc>
          <w:tcPr>
            <w:tcW w:w="89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-0.05</w:t>
            </w:r>
          </w:p>
        </w:tc>
        <w:tc>
          <w:tcPr>
            <w:tcW w:w="1476"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-0.76–0.36</w:t>
            </w:r>
          </w:p>
        </w:tc>
      </w:tr>
      <w:tr w:rsidR="005D723A" w:rsidRPr="006E0F91" w:rsidTr="006E0F91">
        <w:trPr>
          <w:tblCellSpacing w:w="15" w:type="dxa"/>
        </w:trPr>
        <w:tc>
          <w:tcPr>
            <w:tcW w:w="190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Male Sex, n(%)</w:t>
            </w:r>
          </w:p>
        </w:tc>
        <w:tc>
          <w:tcPr>
            <w:tcW w:w="1185" w:type="dxa"/>
            <w:hideMark/>
          </w:tcPr>
          <w:tbl>
            <w:tblPr>
              <w:tblW w:w="0" w:type="auto"/>
              <w:tblCellSpacing w:w="15" w:type="dxa"/>
              <w:tblLayout w:type="fixed"/>
              <w:tblCellMar>
                <w:top w:w="15" w:type="dxa"/>
                <w:left w:w="15" w:type="dxa"/>
                <w:bottom w:w="15" w:type="dxa"/>
                <w:right w:w="15" w:type="dxa"/>
              </w:tblCellMar>
              <w:tblLook w:val="04A0"/>
            </w:tblPr>
            <w:tblGrid>
              <w:gridCol w:w="1155"/>
            </w:tblGrid>
            <w:tr w:rsidR="005D723A" w:rsidRPr="006E0F91" w:rsidTr="006E0F91">
              <w:trPr>
                <w:tblCellSpacing w:w="15" w:type="dxa"/>
              </w:trPr>
              <w:tc>
                <w:tcPr>
                  <w:tcW w:w="1095"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363 (</w:t>
                  </w:r>
                  <w:proofErr w:type="gramStart"/>
                  <w:r w:rsidRPr="006E0F91">
                    <w:rPr>
                      <w:rFonts w:ascii="Times New Roman" w:hAnsi="Times New Roman" w:cs="Times New Roman"/>
                      <w:color w:val="000000" w:themeColor="text1"/>
                      <w:sz w:val="20"/>
                      <w:szCs w:val="20"/>
                    </w:rPr>
                    <w:t>64.8</w:t>
                  </w:r>
                  <w:proofErr w:type="gramEnd"/>
                  <w:r w:rsidRPr="006E0F91">
                    <w:rPr>
                      <w:rFonts w:ascii="Times New Roman" w:hAnsi="Times New Roman" w:cs="Times New Roman"/>
                      <w:color w:val="000000" w:themeColor="text1"/>
                      <w:sz w:val="20"/>
                      <w:szCs w:val="20"/>
                    </w:rPr>
                    <w:t>%)</w:t>
                  </w:r>
                </w:p>
              </w:tc>
            </w:tr>
          </w:tbl>
          <w:p w:rsidR="005D723A" w:rsidRPr="006E0F91" w:rsidRDefault="005D723A" w:rsidP="00266D66">
            <w:pPr>
              <w:spacing w:after="0" w:line="240" w:lineRule="auto"/>
              <w:jc w:val="both"/>
              <w:rPr>
                <w:rFonts w:ascii="Times New Roman" w:hAnsi="Times New Roman" w:cs="Times New Roman"/>
                <w:vanish/>
                <w:color w:val="000000" w:themeColor="text1"/>
                <w:sz w:val="20"/>
                <w:szCs w:val="20"/>
              </w:rPr>
            </w:pPr>
          </w:p>
        </w:tc>
        <w:tc>
          <w:tcPr>
            <w:tcW w:w="1252" w:type="dxa"/>
            <w:hideMark/>
          </w:tcPr>
          <w:tbl>
            <w:tblPr>
              <w:tblW w:w="0" w:type="auto"/>
              <w:tblCellSpacing w:w="15" w:type="dxa"/>
              <w:tblLayout w:type="fixed"/>
              <w:tblCellMar>
                <w:top w:w="15" w:type="dxa"/>
                <w:left w:w="15" w:type="dxa"/>
                <w:bottom w:w="15" w:type="dxa"/>
                <w:right w:w="15" w:type="dxa"/>
              </w:tblCellMar>
              <w:tblLook w:val="04A0"/>
            </w:tblPr>
            <w:tblGrid>
              <w:gridCol w:w="1155"/>
            </w:tblGrid>
            <w:tr w:rsidR="005D723A" w:rsidRPr="006E0F91" w:rsidTr="006E0F91">
              <w:trPr>
                <w:tblCellSpacing w:w="15" w:type="dxa"/>
              </w:trPr>
              <w:tc>
                <w:tcPr>
                  <w:tcW w:w="1095"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160 (</w:t>
                  </w:r>
                  <w:proofErr w:type="gramStart"/>
                  <w:r w:rsidRPr="006E0F91">
                    <w:rPr>
                      <w:rFonts w:ascii="Times New Roman" w:hAnsi="Times New Roman" w:cs="Times New Roman"/>
                      <w:color w:val="000000" w:themeColor="text1"/>
                      <w:sz w:val="20"/>
                      <w:szCs w:val="20"/>
                    </w:rPr>
                    <w:t>65.3</w:t>
                  </w:r>
                  <w:proofErr w:type="gramEnd"/>
                  <w:r w:rsidRPr="006E0F91">
                    <w:rPr>
                      <w:rFonts w:ascii="Times New Roman" w:hAnsi="Times New Roman" w:cs="Times New Roman"/>
                      <w:color w:val="000000" w:themeColor="text1"/>
                      <w:sz w:val="20"/>
                      <w:szCs w:val="20"/>
                    </w:rPr>
                    <w:t>%)</w:t>
                  </w:r>
                </w:p>
              </w:tc>
            </w:tr>
          </w:tbl>
          <w:p w:rsidR="005D723A" w:rsidRPr="006E0F91" w:rsidRDefault="005D723A" w:rsidP="00266D66">
            <w:pPr>
              <w:spacing w:after="0" w:line="240" w:lineRule="auto"/>
              <w:jc w:val="both"/>
              <w:rPr>
                <w:rFonts w:ascii="Times New Roman" w:hAnsi="Times New Roman" w:cs="Times New Roman"/>
                <w:color w:val="000000" w:themeColor="text1"/>
                <w:sz w:val="20"/>
                <w:szCs w:val="20"/>
              </w:rPr>
            </w:pPr>
          </w:p>
        </w:tc>
        <w:tc>
          <w:tcPr>
            <w:tcW w:w="81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hAnsi="Times New Roman" w:cs="Times New Roman"/>
                <w:color w:val="000000" w:themeColor="text1"/>
                <w:sz w:val="20"/>
                <w:szCs w:val="20"/>
              </w:rPr>
              <w:t>0.005</w:t>
            </w:r>
          </w:p>
        </w:tc>
        <w:tc>
          <w:tcPr>
            <w:tcW w:w="53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hAnsi="Times New Roman" w:cs="Times New Roman"/>
                <w:color w:val="000000" w:themeColor="text1"/>
                <w:sz w:val="20"/>
                <w:szCs w:val="20"/>
              </w:rPr>
              <w:t>0.133</w:t>
            </w:r>
          </w:p>
        </w:tc>
        <w:tc>
          <w:tcPr>
            <w:tcW w:w="63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hAnsi="Times New Roman" w:cs="Times New Roman"/>
                <w:color w:val="000000" w:themeColor="text1"/>
                <w:sz w:val="20"/>
                <w:szCs w:val="20"/>
              </w:rPr>
              <w:t>0.89</w:t>
            </w:r>
          </w:p>
        </w:tc>
        <w:tc>
          <w:tcPr>
            <w:tcW w:w="89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proofErr w:type="gramStart"/>
            <w:r w:rsidRPr="006E0F91">
              <w:rPr>
                <w:rFonts w:ascii="Times New Roman" w:hAnsi="Times New Roman" w:cs="Times New Roman"/>
                <w:color w:val="000000" w:themeColor="text1"/>
                <w:sz w:val="20"/>
                <w:szCs w:val="20"/>
              </w:rPr>
              <w:t>h</w:t>
            </w:r>
            <w:proofErr w:type="gramEnd"/>
            <w:r w:rsidRPr="006E0F91">
              <w:rPr>
                <w:rFonts w:ascii="Times New Roman" w:hAnsi="Times New Roman" w:cs="Times New Roman"/>
                <w:color w:val="000000" w:themeColor="text1"/>
                <w:sz w:val="20"/>
                <w:szCs w:val="20"/>
              </w:rPr>
              <w:t>=0.04</w:t>
            </w:r>
          </w:p>
        </w:tc>
        <w:tc>
          <w:tcPr>
            <w:tcW w:w="1476"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hAnsi="Times New Roman" w:cs="Times New Roman"/>
                <w:color w:val="000000" w:themeColor="text1"/>
                <w:sz w:val="20"/>
                <w:szCs w:val="20"/>
              </w:rPr>
              <w:t>−0.07–0.08</w:t>
            </w:r>
          </w:p>
        </w:tc>
      </w:tr>
      <w:tr w:rsidR="005D723A" w:rsidRPr="006E0F91" w:rsidTr="006E0F91">
        <w:trPr>
          <w:tblCellSpacing w:w="15" w:type="dxa"/>
        </w:trPr>
        <w:tc>
          <w:tcPr>
            <w:tcW w:w="190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hAnsi="Times New Roman" w:cs="Times New Roman"/>
                <w:color w:val="000000" w:themeColor="text1"/>
                <w:sz w:val="20"/>
                <w:szCs w:val="20"/>
              </w:rPr>
              <w:t>Hypertension history</w:t>
            </w:r>
          </w:p>
        </w:tc>
        <w:tc>
          <w:tcPr>
            <w:tcW w:w="1185"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159 (</w:t>
            </w:r>
            <w:proofErr w:type="gramStart"/>
            <w:r w:rsidRPr="006E0F91">
              <w:rPr>
                <w:rFonts w:ascii="Times New Roman" w:hAnsi="Times New Roman" w:cs="Times New Roman"/>
                <w:color w:val="000000" w:themeColor="text1"/>
                <w:sz w:val="20"/>
                <w:szCs w:val="20"/>
              </w:rPr>
              <w:t>28.4</w:t>
            </w:r>
            <w:proofErr w:type="gramEnd"/>
            <w:r w:rsidRPr="006E0F91">
              <w:rPr>
                <w:rFonts w:ascii="Times New Roman" w:hAnsi="Times New Roman" w:cs="Times New Roman"/>
                <w:color w:val="000000" w:themeColor="text1"/>
                <w:sz w:val="20"/>
                <w:szCs w:val="20"/>
              </w:rPr>
              <w:t>%)</w:t>
            </w:r>
          </w:p>
        </w:tc>
        <w:tc>
          <w:tcPr>
            <w:tcW w:w="125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71(29%)</w:t>
            </w:r>
          </w:p>
        </w:tc>
        <w:tc>
          <w:tcPr>
            <w:tcW w:w="81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hAnsi="Times New Roman" w:cs="Times New Roman"/>
                <w:color w:val="000000" w:themeColor="text1"/>
                <w:sz w:val="20"/>
                <w:szCs w:val="20"/>
              </w:rPr>
              <w:t>0.006</w:t>
            </w:r>
          </w:p>
        </w:tc>
        <w:tc>
          <w:tcPr>
            <w:tcW w:w="53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hAnsi="Times New Roman" w:cs="Times New Roman"/>
                <w:color w:val="000000" w:themeColor="text1"/>
                <w:sz w:val="20"/>
                <w:szCs w:val="20"/>
              </w:rPr>
              <w:t>−0.15</w:t>
            </w:r>
          </w:p>
        </w:tc>
        <w:tc>
          <w:tcPr>
            <w:tcW w:w="63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hAnsi="Times New Roman" w:cs="Times New Roman"/>
                <w:color w:val="000000" w:themeColor="text1"/>
                <w:sz w:val="20"/>
                <w:szCs w:val="20"/>
              </w:rPr>
              <w:t>0.86</w:t>
            </w:r>
          </w:p>
        </w:tc>
        <w:tc>
          <w:tcPr>
            <w:tcW w:w="89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proofErr w:type="gramStart"/>
            <w:r w:rsidRPr="006E0F91">
              <w:rPr>
                <w:rFonts w:ascii="Times New Roman" w:hAnsi="Times New Roman" w:cs="Times New Roman"/>
                <w:color w:val="000000" w:themeColor="text1"/>
                <w:sz w:val="20"/>
                <w:szCs w:val="20"/>
              </w:rPr>
              <w:t>h</w:t>
            </w:r>
            <w:proofErr w:type="gramEnd"/>
            <w:r w:rsidRPr="006E0F91">
              <w:rPr>
                <w:rFonts w:ascii="Times New Roman" w:hAnsi="Times New Roman" w:cs="Times New Roman"/>
                <w:color w:val="000000" w:themeColor="text1"/>
                <w:sz w:val="20"/>
                <w:szCs w:val="20"/>
              </w:rPr>
              <w:t>=0.01</w:t>
            </w:r>
          </w:p>
        </w:tc>
        <w:tc>
          <w:tcPr>
            <w:tcW w:w="1476"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hAnsi="Times New Roman" w:cs="Times New Roman"/>
                <w:color w:val="000000" w:themeColor="text1"/>
                <w:sz w:val="20"/>
                <w:szCs w:val="20"/>
              </w:rPr>
              <w:t>−0.06–0.07</w:t>
            </w:r>
          </w:p>
        </w:tc>
      </w:tr>
      <w:tr w:rsidR="005D723A" w:rsidRPr="006E0F91" w:rsidTr="006E0F91">
        <w:trPr>
          <w:tblCellSpacing w:w="15" w:type="dxa"/>
        </w:trPr>
        <w:tc>
          <w:tcPr>
            <w:tcW w:w="190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Diabetes mellitus</w:t>
            </w:r>
          </w:p>
        </w:tc>
        <w:tc>
          <w:tcPr>
            <w:tcW w:w="1185" w:type="dxa"/>
            <w:hideMark/>
          </w:tcPr>
          <w:tbl>
            <w:tblPr>
              <w:tblW w:w="0" w:type="auto"/>
              <w:tblCellSpacing w:w="15" w:type="dxa"/>
              <w:tblLayout w:type="fixed"/>
              <w:tblCellMar>
                <w:top w:w="15" w:type="dxa"/>
                <w:left w:w="15" w:type="dxa"/>
                <w:bottom w:w="15" w:type="dxa"/>
                <w:right w:w="15" w:type="dxa"/>
              </w:tblCellMar>
              <w:tblLook w:val="04A0"/>
            </w:tblPr>
            <w:tblGrid>
              <w:gridCol w:w="1050"/>
            </w:tblGrid>
            <w:tr w:rsidR="005D723A" w:rsidRPr="006E0F91" w:rsidTr="006E0F91">
              <w:trPr>
                <w:tblCellSpacing w:w="15" w:type="dxa"/>
              </w:trPr>
              <w:tc>
                <w:tcPr>
                  <w:tcW w:w="990"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55 (</w:t>
                  </w:r>
                  <w:proofErr w:type="gramStart"/>
                  <w:r w:rsidRPr="006E0F91">
                    <w:rPr>
                      <w:rFonts w:ascii="Times New Roman" w:hAnsi="Times New Roman" w:cs="Times New Roman"/>
                      <w:color w:val="000000" w:themeColor="text1"/>
                      <w:sz w:val="20"/>
                      <w:szCs w:val="20"/>
                    </w:rPr>
                    <w:t>9.8</w:t>
                  </w:r>
                  <w:proofErr w:type="gramEnd"/>
                  <w:r w:rsidRPr="006E0F91">
                    <w:rPr>
                      <w:rFonts w:ascii="Times New Roman" w:hAnsi="Times New Roman" w:cs="Times New Roman"/>
                      <w:color w:val="000000" w:themeColor="text1"/>
                      <w:sz w:val="20"/>
                      <w:szCs w:val="20"/>
                    </w:rPr>
                    <w:t>%)</w:t>
                  </w:r>
                </w:p>
              </w:tc>
            </w:tr>
          </w:tbl>
          <w:p w:rsidR="005D723A" w:rsidRPr="006E0F91" w:rsidRDefault="005D723A" w:rsidP="00266D66">
            <w:pPr>
              <w:spacing w:after="0" w:line="240" w:lineRule="auto"/>
              <w:jc w:val="both"/>
              <w:rPr>
                <w:rFonts w:ascii="Times New Roman" w:hAnsi="Times New Roman" w:cs="Times New Roman"/>
                <w:vanish/>
                <w:color w:val="000000" w:themeColor="text1"/>
                <w:sz w:val="20"/>
                <w:szCs w:val="20"/>
              </w:rPr>
            </w:pPr>
          </w:p>
        </w:tc>
        <w:tc>
          <w:tcPr>
            <w:tcW w:w="1252" w:type="dxa"/>
            <w:hideMark/>
          </w:tcPr>
          <w:tbl>
            <w:tblPr>
              <w:tblW w:w="0" w:type="auto"/>
              <w:tblCellSpacing w:w="15" w:type="dxa"/>
              <w:tblLayout w:type="fixed"/>
              <w:tblCellMar>
                <w:top w:w="15" w:type="dxa"/>
                <w:left w:w="15" w:type="dxa"/>
                <w:bottom w:w="15" w:type="dxa"/>
                <w:right w:w="15" w:type="dxa"/>
              </w:tblCellMar>
              <w:tblLook w:val="04A0"/>
            </w:tblPr>
            <w:tblGrid>
              <w:gridCol w:w="1170"/>
            </w:tblGrid>
            <w:tr w:rsidR="005D723A" w:rsidRPr="006E0F91" w:rsidTr="006E0F91">
              <w:trPr>
                <w:tblCellSpacing w:w="15" w:type="dxa"/>
              </w:trPr>
              <w:tc>
                <w:tcPr>
                  <w:tcW w:w="1110"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25 (</w:t>
                  </w:r>
                  <w:proofErr w:type="gramStart"/>
                  <w:r w:rsidRPr="006E0F91">
                    <w:rPr>
                      <w:rFonts w:ascii="Times New Roman" w:hAnsi="Times New Roman" w:cs="Times New Roman"/>
                      <w:color w:val="000000" w:themeColor="text1"/>
                      <w:sz w:val="20"/>
                      <w:szCs w:val="20"/>
                    </w:rPr>
                    <w:t>10.2</w:t>
                  </w:r>
                  <w:proofErr w:type="gramEnd"/>
                  <w:r w:rsidRPr="006E0F91">
                    <w:rPr>
                      <w:rFonts w:ascii="Times New Roman" w:hAnsi="Times New Roman" w:cs="Times New Roman"/>
                      <w:color w:val="000000" w:themeColor="text1"/>
                      <w:sz w:val="20"/>
                      <w:szCs w:val="20"/>
                    </w:rPr>
                    <w:t>%)</w:t>
                  </w:r>
                </w:p>
              </w:tc>
            </w:tr>
          </w:tbl>
          <w:p w:rsidR="005D723A" w:rsidRPr="006E0F91" w:rsidRDefault="005D723A" w:rsidP="00266D66">
            <w:pPr>
              <w:spacing w:after="0" w:line="240" w:lineRule="auto"/>
              <w:jc w:val="both"/>
              <w:rPr>
                <w:rFonts w:ascii="Times New Roman" w:hAnsi="Times New Roman" w:cs="Times New Roman"/>
                <w:color w:val="000000" w:themeColor="text1"/>
                <w:sz w:val="20"/>
                <w:szCs w:val="20"/>
              </w:rPr>
            </w:pPr>
          </w:p>
        </w:tc>
        <w:tc>
          <w:tcPr>
            <w:tcW w:w="81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hAnsi="Times New Roman" w:cs="Times New Roman"/>
                <w:color w:val="000000" w:themeColor="text1"/>
                <w:sz w:val="20"/>
                <w:szCs w:val="20"/>
              </w:rPr>
              <w:t>0.004</w:t>
            </w:r>
          </w:p>
        </w:tc>
        <w:tc>
          <w:tcPr>
            <w:tcW w:w="53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hAnsi="Times New Roman" w:cs="Times New Roman"/>
                <w:color w:val="000000" w:themeColor="text1"/>
                <w:sz w:val="20"/>
                <w:szCs w:val="20"/>
              </w:rPr>
              <w:t>0.166</w:t>
            </w:r>
          </w:p>
        </w:tc>
        <w:tc>
          <w:tcPr>
            <w:tcW w:w="63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hAnsi="Times New Roman" w:cs="Times New Roman"/>
                <w:color w:val="000000" w:themeColor="text1"/>
                <w:sz w:val="20"/>
                <w:szCs w:val="20"/>
              </w:rPr>
              <w:t>0.868</w:t>
            </w:r>
          </w:p>
        </w:tc>
        <w:tc>
          <w:tcPr>
            <w:tcW w:w="89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proofErr w:type="gramStart"/>
            <w:r w:rsidRPr="006E0F91">
              <w:rPr>
                <w:rFonts w:ascii="Times New Roman" w:hAnsi="Times New Roman" w:cs="Times New Roman"/>
                <w:color w:val="000000" w:themeColor="text1"/>
                <w:sz w:val="20"/>
                <w:szCs w:val="20"/>
              </w:rPr>
              <w:t>h</w:t>
            </w:r>
            <w:proofErr w:type="gramEnd"/>
            <w:r w:rsidRPr="006E0F91">
              <w:rPr>
                <w:rFonts w:ascii="Times New Roman" w:hAnsi="Times New Roman" w:cs="Times New Roman"/>
                <w:color w:val="000000" w:themeColor="text1"/>
                <w:sz w:val="20"/>
                <w:szCs w:val="20"/>
              </w:rPr>
              <w:t>=0.013</w:t>
            </w:r>
          </w:p>
        </w:tc>
        <w:tc>
          <w:tcPr>
            <w:tcW w:w="1476"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hAnsi="Times New Roman" w:cs="Times New Roman"/>
                <w:color w:val="000000" w:themeColor="text1"/>
                <w:sz w:val="20"/>
                <w:szCs w:val="20"/>
              </w:rPr>
              <w:t>−0.041–0.05</w:t>
            </w:r>
          </w:p>
        </w:tc>
      </w:tr>
      <w:tr w:rsidR="005D723A" w:rsidRPr="006E0F91" w:rsidTr="006E0F91">
        <w:trPr>
          <w:tblCellSpacing w:w="15" w:type="dxa"/>
        </w:trPr>
        <w:tc>
          <w:tcPr>
            <w:tcW w:w="190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Current smoking</w:t>
            </w:r>
          </w:p>
        </w:tc>
        <w:tc>
          <w:tcPr>
            <w:tcW w:w="1185" w:type="dxa"/>
            <w:hideMark/>
          </w:tcPr>
          <w:tbl>
            <w:tblPr>
              <w:tblW w:w="0" w:type="auto"/>
              <w:tblCellSpacing w:w="15" w:type="dxa"/>
              <w:tblLayout w:type="fixed"/>
              <w:tblCellMar>
                <w:top w:w="15" w:type="dxa"/>
                <w:left w:w="15" w:type="dxa"/>
                <w:bottom w:w="15" w:type="dxa"/>
                <w:right w:w="15" w:type="dxa"/>
              </w:tblCellMar>
              <w:tblLook w:val="04A0"/>
            </w:tblPr>
            <w:tblGrid>
              <w:gridCol w:w="1290"/>
            </w:tblGrid>
            <w:tr w:rsidR="005D723A" w:rsidRPr="006E0F91" w:rsidTr="006E0F91">
              <w:trPr>
                <w:tblCellSpacing w:w="15" w:type="dxa"/>
              </w:trPr>
              <w:tc>
                <w:tcPr>
                  <w:tcW w:w="1230"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234 (</w:t>
                  </w:r>
                  <w:proofErr w:type="gramStart"/>
                  <w:r w:rsidRPr="006E0F91">
                    <w:rPr>
                      <w:rFonts w:ascii="Times New Roman" w:hAnsi="Times New Roman" w:cs="Times New Roman"/>
                      <w:color w:val="000000" w:themeColor="text1"/>
                      <w:sz w:val="20"/>
                      <w:szCs w:val="20"/>
                    </w:rPr>
                    <w:t>41.8</w:t>
                  </w:r>
                  <w:proofErr w:type="gramEnd"/>
                  <w:r w:rsidRPr="006E0F91">
                    <w:rPr>
                      <w:rFonts w:ascii="Times New Roman" w:hAnsi="Times New Roman" w:cs="Times New Roman"/>
                      <w:color w:val="000000" w:themeColor="text1"/>
                      <w:sz w:val="20"/>
                      <w:szCs w:val="20"/>
                    </w:rPr>
                    <w:t>%)</w:t>
                  </w:r>
                </w:p>
              </w:tc>
            </w:tr>
          </w:tbl>
          <w:p w:rsidR="005D723A" w:rsidRPr="006E0F91" w:rsidRDefault="005D723A" w:rsidP="00266D66">
            <w:pPr>
              <w:spacing w:after="0" w:line="240" w:lineRule="auto"/>
              <w:jc w:val="both"/>
              <w:rPr>
                <w:rFonts w:ascii="Times New Roman" w:hAnsi="Times New Roman" w:cs="Times New Roman"/>
                <w:vanish/>
                <w:color w:val="000000" w:themeColor="text1"/>
                <w:sz w:val="20"/>
                <w:szCs w:val="20"/>
              </w:rPr>
            </w:pPr>
          </w:p>
        </w:tc>
        <w:tc>
          <w:tcPr>
            <w:tcW w:w="1252" w:type="dxa"/>
            <w:hideMark/>
          </w:tcPr>
          <w:tbl>
            <w:tblPr>
              <w:tblW w:w="0" w:type="auto"/>
              <w:tblCellSpacing w:w="15" w:type="dxa"/>
              <w:tblLayout w:type="fixed"/>
              <w:tblCellMar>
                <w:top w:w="15" w:type="dxa"/>
                <w:left w:w="15" w:type="dxa"/>
                <w:bottom w:w="15" w:type="dxa"/>
                <w:right w:w="15" w:type="dxa"/>
              </w:tblCellMar>
              <w:tblLook w:val="04A0"/>
            </w:tblPr>
            <w:tblGrid>
              <w:gridCol w:w="1290"/>
            </w:tblGrid>
            <w:tr w:rsidR="005D723A" w:rsidRPr="006E0F91" w:rsidTr="006E0F91">
              <w:trPr>
                <w:tblCellSpacing w:w="15" w:type="dxa"/>
              </w:trPr>
              <w:tc>
                <w:tcPr>
                  <w:tcW w:w="1230"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103 (</w:t>
                  </w:r>
                  <w:proofErr w:type="gramStart"/>
                  <w:r w:rsidRPr="006E0F91">
                    <w:rPr>
                      <w:rFonts w:ascii="Times New Roman" w:hAnsi="Times New Roman" w:cs="Times New Roman"/>
                      <w:color w:val="000000" w:themeColor="text1"/>
                      <w:sz w:val="20"/>
                      <w:szCs w:val="20"/>
                    </w:rPr>
                    <w:t>42.0</w:t>
                  </w:r>
                  <w:proofErr w:type="gramEnd"/>
                  <w:r w:rsidRPr="006E0F91">
                    <w:rPr>
                      <w:rFonts w:ascii="Times New Roman" w:hAnsi="Times New Roman" w:cs="Times New Roman"/>
                      <w:color w:val="000000" w:themeColor="text1"/>
                      <w:sz w:val="20"/>
                      <w:szCs w:val="20"/>
                    </w:rPr>
                    <w:t>%)</w:t>
                  </w:r>
                </w:p>
              </w:tc>
            </w:tr>
          </w:tbl>
          <w:p w:rsidR="005D723A" w:rsidRPr="006E0F91" w:rsidRDefault="005D723A" w:rsidP="00266D66">
            <w:pPr>
              <w:spacing w:after="0" w:line="240" w:lineRule="auto"/>
              <w:jc w:val="both"/>
              <w:rPr>
                <w:rFonts w:ascii="Times New Roman" w:hAnsi="Times New Roman" w:cs="Times New Roman"/>
                <w:color w:val="000000" w:themeColor="text1"/>
                <w:sz w:val="20"/>
                <w:szCs w:val="20"/>
              </w:rPr>
            </w:pPr>
          </w:p>
        </w:tc>
        <w:tc>
          <w:tcPr>
            <w:tcW w:w="81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hAnsi="Times New Roman" w:cs="Times New Roman"/>
                <w:color w:val="000000" w:themeColor="text1"/>
                <w:sz w:val="20"/>
                <w:szCs w:val="20"/>
              </w:rPr>
              <w:t>0.0026</w:t>
            </w:r>
          </w:p>
        </w:tc>
        <w:tc>
          <w:tcPr>
            <w:tcW w:w="53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hAnsi="Times New Roman" w:cs="Times New Roman"/>
                <w:color w:val="000000" w:themeColor="text1"/>
                <w:sz w:val="20"/>
                <w:szCs w:val="20"/>
              </w:rPr>
              <w:t>0.067</w:t>
            </w:r>
          </w:p>
        </w:tc>
        <w:tc>
          <w:tcPr>
            <w:tcW w:w="63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hAnsi="Times New Roman" w:cs="Times New Roman"/>
                <w:color w:val="000000" w:themeColor="text1"/>
                <w:sz w:val="20"/>
                <w:szCs w:val="20"/>
              </w:rPr>
              <w:t>0.946</w:t>
            </w:r>
          </w:p>
        </w:tc>
        <w:tc>
          <w:tcPr>
            <w:tcW w:w="892"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proofErr w:type="gramStart"/>
            <w:r w:rsidRPr="006E0F91">
              <w:rPr>
                <w:rFonts w:ascii="Times New Roman" w:hAnsi="Times New Roman" w:cs="Times New Roman"/>
                <w:color w:val="000000" w:themeColor="text1"/>
                <w:sz w:val="20"/>
                <w:szCs w:val="20"/>
              </w:rPr>
              <w:t>h</w:t>
            </w:r>
            <w:proofErr w:type="gramEnd"/>
            <w:r w:rsidRPr="006E0F91">
              <w:rPr>
                <w:rFonts w:ascii="Times New Roman" w:hAnsi="Times New Roman" w:cs="Times New Roman"/>
                <w:color w:val="000000" w:themeColor="text1"/>
                <w:sz w:val="20"/>
                <w:szCs w:val="20"/>
              </w:rPr>
              <w:t>=0.005</w:t>
            </w:r>
          </w:p>
        </w:tc>
        <w:tc>
          <w:tcPr>
            <w:tcW w:w="1476" w:type="dxa"/>
            <w:vAlign w:val="center"/>
            <w:hideMark/>
          </w:tcPr>
          <w:tbl>
            <w:tblPr>
              <w:tblW w:w="0" w:type="auto"/>
              <w:tblCellSpacing w:w="15" w:type="dxa"/>
              <w:tblLayout w:type="fixed"/>
              <w:tblCellMar>
                <w:top w:w="15" w:type="dxa"/>
                <w:left w:w="15" w:type="dxa"/>
                <w:bottom w:w="15" w:type="dxa"/>
                <w:right w:w="15" w:type="dxa"/>
              </w:tblCellMar>
              <w:tblLook w:val="04A0"/>
            </w:tblPr>
            <w:tblGrid>
              <w:gridCol w:w="1666"/>
            </w:tblGrid>
            <w:tr w:rsidR="005D723A" w:rsidRPr="006E0F91" w:rsidTr="006E0F91">
              <w:trPr>
                <w:tblCellSpacing w:w="15" w:type="dxa"/>
              </w:trPr>
              <w:tc>
                <w:tcPr>
                  <w:tcW w:w="1606"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−0.071–0.076</w:t>
                  </w:r>
                </w:p>
              </w:tc>
            </w:tr>
          </w:tbl>
          <w:p w:rsidR="005D723A" w:rsidRPr="006E0F91" w:rsidRDefault="005D723A" w:rsidP="00266D66">
            <w:pPr>
              <w:spacing w:after="0" w:line="240" w:lineRule="auto"/>
              <w:jc w:val="both"/>
              <w:rPr>
                <w:rFonts w:ascii="Times New Roman" w:eastAsia="Times New Roman" w:hAnsi="Times New Roman" w:cs="Times New Roman"/>
                <w:vanish/>
                <w:color w:val="000000" w:themeColor="text1"/>
                <w:sz w:val="20"/>
                <w:szCs w:val="20"/>
                <w:lang w:eastAsia="tr-TR"/>
              </w:rPr>
            </w:pPr>
          </w:p>
          <w:tbl>
            <w:tblPr>
              <w:tblW w:w="0" w:type="auto"/>
              <w:tblCellSpacing w:w="15" w:type="dxa"/>
              <w:tblLayout w:type="fixed"/>
              <w:tblCellMar>
                <w:top w:w="15" w:type="dxa"/>
                <w:left w:w="15" w:type="dxa"/>
                <w:bottom w:w="15" w:type="dxa"/>
                <w:right w:w="15" w:type="dxa"/>
              </w:tblCellMar>
              <w:tblLook w:val="04A0"/>
            </w:tblPr>
            <w:tblGrid>
              <w:gridCol w:w="110"/>
            </w:tblGrid>
            <w:tr w:rsidR="005D723A" w:rsidRPr="006E0F91" w:rsidTr="006E0F91">
              <w:trPr>
                <w:tblCellSpacing w:w="15" w:type="dxa"/>
              </w:trPr>
              <w:tc>
                <w:tcPr>
                  <w:tcW w:w="36"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p>
              </w:tc>
            </w:tr>
          </w:tbl>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p>
        </w:tc>
      </w:tr>
      <w:tr w:rsidR="005D723A" w:rsidRPr="006E0F91" w:rsidTr="006E0F91">
        <w:trPr>
          <w:tblCellSpacing w:w="15" w:type="dxa"/>
        </w:trPr>
        <w:tc>
          <w:tcPr>
            <w:tcW w:w="190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Pack-years</w:t>
            </w:r>
          </w:p>
        </w:tc>
        <w:tc>
          <w:tcPr>
            <w:tcW w:w="118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27.9 ± </w:t>
            </w:r>
            <w:proofErr w:type="gramStart"/>
            <w:r w:rsidRPr="006E0F91">
              <w:rPr>
                <w:rFonts w:ascii="Times New Roman" w:eastAsia="Times New Roman" w:hAnsi="Times New Roman" w:cs="Times New Roman"/>
                <w:color w:val="000000" w:themeColor="text1"/>
                <w:sz w:val="20"/>
                <w:szCs w:val="20"/>
                <w:lang w:eastAsia="tr-TR"/>
              </w:rPr>
              <w:t>3.7</w:t>
            </w:r>
            <w:proofErr w:type="gramEnd"/>
          </w:p>
        </w:tc>
        <w:tc>
          <w:tcPr>
            <w:tcW w:w="125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28.1 ± </w:t>
            </w:r>
            <w:proofErr w:type="gramStart"/>
            <w:r w:rsidRPr="006E0F91">
              <w:rPr>
                <w:rFonts w:ascii="Times New Roman" w:eastAsia="Times New Roman" w:hAnsi="Times New Roman" w:cs="Times New Roman"/>
                <w:color w:val="000000" w:themeColor="text1"/>
                <w:sz w:val="20"/>
                <w:szCs w:val="20"/>
                <w:lang w:eastAsia="tr-TR"/>
              </w:rPr>
              <w:t>3.9</w:t>
            </w:r>
            <w:proofErr w:type="gramEnd"/>
          </w:p>
        </w:tc>
        <w:tc>
          <w:tcPr>
            <w:tcW w:w="81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0.20</w:t>
            </w:r>
          </w:p>
        </w:tc>
        <w:tc>
          <w:tcPr>
            <w:tcW w:w="53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0.68</w:t>
            </w:r>
          </w:p>
        </w:tc>
        <w:tc>
          <w:tcPr>
            <w:tcW w:w="63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0.497</w:t>
            </w:r>
          </w:p>
        </w:tc>
        <w:tc>
          <w:tcPr>
            <w:tcW w:w="89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0.05</w:t>
            </w:r>
          </w:p>
        </w:tc>
        <w:tc>
          <w:tcPr>
            <w:tcW w:w="1476"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-0.38–0.78</w:t>
            </w:r>
          </w:p>
        </w:tc>
      </w:tr>
      <w:tr w:rsidR="005D723A" w:rsidRPr="006E0F91" w:rsidTr="006E0F91">
        <w:trPr>
          <w:tblCellSpacing w:w="15" w:type="dxa"/>
        </w:trPr>
        <w:tc>
          <w:tcPr>
            <w:tcW w:w="190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Resting HR (bpm)</w:t>
            </w:r>
          </w:p>
        </w:tc>
        <w:tc>
          <w:tcPr>
            <w:tcW w:w="118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72.2 ± </w:t>
            </w:r>
            <w:proofErr w:type="gramStart"/>
            <w:r w:rsidRPr="006E0F91">
              <w:rPr>
                <w:rFonts w:ascii="Times New Roman" w:eastAsia="Times New Roman" w:hAnsi="Times New Roman" w:cs="Times New Roman"/>
                <w:color w:val="000000" w:themeColor="text1"/>
                <w:sz w:val="20"/>
                <w:szCs w:val="20"/>
                <w:lang w:eastAsia="tr-TR"/>
              </w:rPr>
              <w:t>8.1</w:t>
            </w:r>
            <w:proofErr w:type="gramEnd"/>
          </w:p>
        </w:tc>
        <w:tc>
          <w:tcPr>
            <w:tcW w:w="125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73.1 ± </w:t>
            </w:r>
            <w:proofErr w:type="gramStart"/>
            <w:r w:rsidRPr="006E0F91">
              <w:rPr>
                <w:rFonts w:ascii="Times New Roman" w:eastAsia="Times New Roman" w:hAnsi="Times New Roman" w:cs="Times New Roman"/>
                <w:color w:val="000000" w:themeColor="text1"/>
                <w:sz w:val="20"/>
                <w:szCs w:val="20"/>
                <w:lang w:eastAsia="tr-TR"/>
              </w:rPr>
              <w:t>8.6</w:t>
            </w:r>
            <w:proofErr w:type="gramEnd"/>
          </w:p>
        </w:tc>
        <w:tc>
          <w:tcPr>
            <w:tcW w:w="81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0.90</w:t>
            </w:r>
          </w:p>
        </w:tc>
        <w:tc>
          <w:tcPr>
            <w:tcW w:w="53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1.39</w:t>
            </w:r>
          </w:p>
        </w:tc>
        <w:tc>
          <w:tcPr>
            <w:tcW w:w="634"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0.165</w:t>
            </w:r>
          </w:p>
        </w:tc>
        <w:tc>
          <w:tcPr>
            <w:tcW w:w="89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0.11</w:t>
            </w:r>
          </w:p>
        </w:tc>
        <w:tc>
          <w:tcPr>
            <w:tcW w:w="1476"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-0.37–2.17</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24h SBP</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121.6 ± </w:t>
            </w:r>
            <w:proofErr w:type="gramStart"/>
            <w:r w:rsidRPr="006E0F91">
              <w:rPr>
                <w:rFonts w:ascii="Times New Roman" w:eastAsia="Times New Roman" w:hAnsi="Times New Roman" w:cs="Times New Roman"/>
                <w:color w:val="000000" w:themeColor="text1"/>
                <w:sz w:val="20"/>
                <w:szCs w:val="20"/>
                <w:lang w:eastAsia="tr-TR"/>
              </w:rPr>
              <w:t>9.5</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122.4 ± </w:t>
            </w:r>
            <w:proofErr w:type="gramStart"/>
            <w:r w:rsidRPr="006E0F91">
              <w:rPr>
                <w:rFonts w:ascii="Times New Roman" w:eastAsia="Times New Roman" w:hAnsi="Times New Roman" w:cs="Times New Roman"/>
                <w:color w:val="000000" w:themeColor="text1"/>
                <w:sz w:val="20"/>
                <w:szCs w:val="20"/>
                <w:lang w:eastAsia="tr-TR"/>
              </w:rPr>
              <w:t>9.6</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0.80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1.09</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0.276</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0.08</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-0.64–2.24</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24h DBP</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75.9 ± </w:t>
            </w:r>
            <w:proofErr w:type="gramStart"/>
            <w:r w:rsidRPr="006E0F91">
              <w:rPr>
                <w:rFonts w:ascii="Times New Roman" w:eastAsia="Times New Roman" w:hAnsi="Times New Roman" w:cs="Times New Roman"/>
                <w:color w:val="000000" w:themeColor="text1"/>
                <w:sz w:val="20"/>
                <w:szCs w:val="20"/>
                <w:lang w:eastAsia="tr-TR"/>
              </w:rPr>
              <w:t>6.3</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76.1 ± </w:t>
            </w:r>
            <w:proofErr w:type="gramStart"/>
            <w:r w:rsidRPr="006E0F91">
              <w:rPr>
                <w:rFonts w:ascii="Times New Roman" w:eastAsia="Times New Roman" w:hAnsi="Times New Roman" w:cs="Times New Roman"/>
                <w:color w:val="000000" w:themeColor="text1"/>
                <w:sz w:val="20"/>
                <w:szCs w:val="20"/>
                <w:lang w:eastAsia="tr-TR"/>
              </w:rPr>
              <w:t>6.6</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0.41</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0.681</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0.03</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-0.77–1.17</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Day SBP</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127.9 ± </w:t>
            </w:r>
            <w:proofErr w:type="gramStart"/>
            <w:r w:rsidRPr="006E0F91">
              <w:rPr>
                <w:rFonts w:ascii="Times New Roman" w:eastAsia="Times New Roman" w:hAnsi="Times New Roman" w:cs="Times New Roman"/>
                <w:color w:val="000000" w:themeColor="text1"/>
                <w:sz w:val="20"/>
                <w:szCs w:val="20"/>
                <w:lang w:eastAsia="tr-TR"/>
              </w:rPr>
              <w:t>10.2</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128.4 ± </w:t>
            </w:r>
            <w:proofErr w:type="gramStart"/>
            <w:r w:rsidRPr="006E0F91">
              <w:rPr>
                <w:rFonts w:ascii="Times New Roman" w:eastAsia="Times New Roman" w:hAnsi="Times New Roman" w:cs="Times New Roman"/>
                <w:color w:val="000000" w:themeColor="text1"/>
                <w:sz w:val="20"/>
                <w:szCs w:val="20"/>
                <w:lang w:eastAsia="tr-TR"/>
              </w:rPr>
              <w:t>10.3</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0.50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0.66</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0.509</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0.05</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-1.00–2.00</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Day DBP</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79.3 ± </w:t>
            </w:r>
            <w:proofErr w:type="gramStart"/>
            <w:r w:rsidRPr="006E0F91">
              <w:rPr>
                <w:rFonts w:ascii="Times New Roman" w:eastAsia="Times New Roman" w:hAnsi="Times New Roman" w:cs="Times New Roman"/>
                <w:color w:val="000000" w:themeColor="text1"/>
                <w:sz w:val="20"/>
                <w:szCs w:val="20"/>
                <w:lang w:eastAsia="tr-TR"/>
              </w:rPr>
              <w:t>7.1</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79.9 ± </w:t>
            </w:r>
            <w:proofErr w:type="gramStart"/>
            <w:r w:rsidRPr="006E0F91">
              <w:rPr>
                <w:rFonts w:ascii="Times New Roman" w:eastAsia="Times New Roman" w:hAnsi="Times New Roman" w:cs="Times New Roman"/>
                <w:color w:val="000000" w:themeColor="text1"/>
                <w:sz w:val="20"/>
                <w:szCs w:val="20"/>
                <w:lang w:eastAsia="tr-TR"/>
              </w:rPr>
              <w:t>7.3</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0.60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1.05</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0.295</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0.08</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-0.52–1.72</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Night SBP</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111.4 ± </w:t>
            </w:r>
            <w:proofErr w:type="gramStart"/>
            <w:r w:rsidRPr="006E0F91">
              <w:rPr>
                <w:rFonts w:ascii="Times New Roman" w:eastAsia="Times New Roman" w:hAnsi="Times New Roman" w:cs="Times New Roman"/>
                <w:color w:val="000000" w:themeColor="text1"/>
                <w:sz w:val="20"/>
                <w:szCs w:val="20"/>
                <w:lang w:eastAsia="tr-TR"/>
              </w:rPr>
              <w:t>8.7</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113.5 ± </w:t>
            </w:r>
            <w:proofErr w:type="gramStart"/>
            <w:r w:rsidRPr="006E0F91">
              <w:rPr>
                <w:rFonts w:ascii="Times New Roman" w:eastAsia="Times New Roman" w:hAnsi="Times New Roman" w:cs="Times New Roman"/>
                <w:color w:val="000000" w:themeColor="text1"/>
                <w:sz w:val="20"/>
                <w:szCs w:val="20"/>
                <w:lang w:eastAsia="tr-TR"/>
              </w:rPr>
              <w:t>8.9</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2.10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3.12</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0.002</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0.25</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0.78–3.42</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Night DBP</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65.5 ± </w:t>
            </w:r>
            <w:proofErr w:type="gramStart"/>
            <w:r w:rsidRPr="006E0F91">
              <w:rPr>
                <w:rFonts w:ascii="Times New Roman" w:eastAsia="Times New Roman" w:hAnsi="Times New Roman" w:cs="Times New Roman"/>
                <w:color w:val="000000" w:themeColor="text1"/>
                <w:sz w:val="20"/>
                <w:szCs w:val="20"/>
                <w:lang w:eastAsia="tr-TR"/>
              </w:rPr>
              <w:t>5.4</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65.9 ± </w:t>
            </w:r>
            <w:proofErr w:type="gramStart"/>
            <w:r w:rsidRPr="006E0F91">
              <w:rPr>
                <w:rFonts w:ascii="Times New Roman" w:eastAsia="Times New Roman" w:hAnsi="Times New Roman" w:cs="Times New Roman"/>
                <w:color w:val="000000" w:themeColor="text1"/>
                <w:sz w:val="20"/>
                <w:szCs w:val="20"/>
                <w:lang w:eastAsia="tr-TR"/>
              </w:rPr>
              <w:t>5.6</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0.40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0.88</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0.380</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0.07</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-0.49–1.29</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Nocturnal dipping (%)</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12.4 ± </w:t>
            </w:r>
            <w:proofErr w:type="gramStart"/>
            <w:r w:rsidRPr="006E0F91">
              <w:rPr>
                <w:rFonts w:ascii="Times New Roman" w:eastAsia="Times New Roman" w:hAnsi="Times New Roman" w:cs="Times New Roman"/>
                <w:color w:val="000000" w:themeColor="text1"/>
                <w:sz w:val="20"/>
                <w:szCs w:val="20"/>
                <w:lang w:eastAsia="tr-TR"/>
              </w:rPr>
              <w:t>5.2</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11.8 ± </w:t>
            </w:r>
            <w:proofErr w:type="gramStart"/>
            <w:r w:rsidRPr="006E0F91">
              <w:rPr>
                <w:rFonts w:ascii="Times New Roman" w:eastAsia="Times New Roman" w:hAnsi="Times New Roman" w:cs="Times New Roman"/>
                <w:color w:val="000000" w:themeColor="text1"/>
                <w:sz w:val="20"/>
                <w:szCs w:val="20"/>
                <w:lang w:eastAsia="tr-TR"/>
              </w:rPr>
              <w:t>5.1</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-0.60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-1.52</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0.129</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-0.12</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-1.38–0.18</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DBP load (%)</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20 ± 13</w:t>
            </w:r>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22 ± 14</w:t>
            </w:r>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2.00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1.93</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0.054</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0.15</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-0.04–4.04</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DBP ARV</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7.2 ± </w:t>
            </w:r>
            <w:proofErr w:type="gramStart"/>
            <w:r w:rsidRPr="006E0F91">
              <w:rPr>
                <w:rFonts w:ascii="Times New Roman" w:eastAsia="Times New Roman" w:hAnsi="Times New Roman" w:cs="Times New Roman"/>
                <w:color w:val="000000" w:themeColor="text1"/>
                <w:sz w:val="20"/>
                <w:szCs w:val="20"/>
                <w:lang w:eastAsia="tr-TR"/>
              </w:rPr>
              <w:t>1.8</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7.0 ± </w:t>
            </w:r>
            <w:proofErr w:type="gramStart"/>
            <w:r w:rsidRPr="006E0F91">
              <w:rPr>
                <w:rFonts w:ascii="Times New Roman" w:eastAsia="Times New Roman" w:hAnsi="Times New Roman" w:cs="Times New Roman"/>
                <w:color w:val="000000" w:themeColor="text1"/>
                <w:sz w:val="20"/>
                <w:szCs w:val="20"/>
                <w:lang w:eastAsia="tr-TR"/>
              </w:rPr>
              <w:t>1.7</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-1.51</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0.132</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-0.12</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-0.46–0.06</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DMS</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9.5 ± </w:t>
            </w:r>
            <w:proofErr w:type="gramStart"/>
            <w:r w:rsidRPr="006E0F91">
              <w:rPr>
                <w:rFonts w:ascii="Times New Roman" w:eastAsia="Times New Roman" w:hAnsi="Times New Roman" w:cs="Times New Roman"/>
                <w:color w:val="000000" w:themeColor="text1"/>
                <w:sz w:val="20"/>
                <w:szCs w:val="20"/>
                <w:lang w:eastAsia="tr-TR"/>
              </w:rPr>
              <w:t>4.6</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9.9 ± </w:t>
            </w:r>
            <w:proofErr w:type="gramStart"/>
            <w:r w:rsidRPr="006E0F91">
              <w:rPr>
                <w:rFonts w:ascii="Times New Roman" w:eastAsia="Times New Roman" w:hAnsi="Times New Roman" w:cs="Times New Roman"/>
                <w:color w:val="000000" w:themeColor="text1"/>
                <w:sz w:val="20"/>
                <w:szCs w:val="20"/>
                <w:lang w:eastAsia="tr-TR"/>
              </w:rPr>
              <w:t>4.8</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0.40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1.12</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0.262</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0.09</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-0.30–1.10</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SMS</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17.2 ± </w:t>
            </w:r>
            <w:proofErr w:type="gramStart"/>
            <w:r w:rsidRPr="006E0F91">
              <w:rPr>
                <w:rFonts w:ascii="Times New Roman" w:eastAsia="Times New Roman" w:hAnsi="Times New Roman" w:cs="Times New Roman"/>
                <w:color w:val="000000" w:themeColor="text1"/>
                <w:sz w:val="20"/>
                <w:szCs w:val="20"/>
                <w:lang w:eastAsia="tr-TR"/>
              </w:rPr>
              <w:t>7.3</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18.1 ± </w:t>
            </w:r>
            <w:proofErr w:type="gramStart"/>
            <w:r w:rsidRPr="006E0F91">
              <w:rPr>
                <w:rFonts w:ascii="Times New Roman" w:eastAsia="Times New Roman" w:hAnsi="Times New Roman" w:cs="Times New Roman"/>
                <w:color w:val="000000" w:themeColor="text1"/>
                <w:sz w:val="20"/>
                <w:szCs w:val="20"/>
                <w:lang w:eastAsia="tr-TR"/>
              </w:rPr>
              <w:t>7.8</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0.90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1.51</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0.132</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0.11</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-0.27–2.07</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E velocity</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75.8 ± </w:t>
            </w:r>
            <w:proofErr w:type="gramStart"/>
            <w:r w:rsidRPr="006E0F91">
              <w:rPr>
                <w:rFonts w:ascii="Times New Roman" w:eastAsia="Times New Roman" w:hAnsi="Times New Roman" w:cs="Times New Roman"/>
                <w:color w:val="000000" w:themeColor="text1"/>
                <w:sz w:val="20"/>
                <w:szCs w:val="20"/>
                <w:lang w:eastAsia="tr-TR"/>
              </w:rPr>
              <w:t>12.9</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74.9 ± </w:t>
            </w:r>
            <w:proofErr w:type="gramStart"/>
            <w:r w:rsidRPr="006E0F91">
              <w:rPr>
                <w:rFonts w:ascii="Times New Roman" w:eastAsia="Times New Roman" w:hAnsi="Times New Roman" w:cs="Times New Roman"/>
                <w:color w:val="000000" w:themeColor="text1"/>
                <w:sz w:val="20"/>
                <w:szCs w:val="20"/>
                <w:lang w:eastAsia="tr-TR"/>
              </w:rPr>
              <w:t>12.4</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-0.90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-0.94</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0.347</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-0.07</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-2.78–0.98</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A velocity</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61.1 ± </w:t>
            </w:r>
            <w:proofErr w:type="gramStart"/>
            <w:r w:rsidRPr="006E0F91">
              <w:rPr>
                <w:rFonts w:ascii="Times New Roman" w:eastAsia="Times New Roman" w:hAnsi="Times New Roman" w:cs="Times New Roman"/>
                <w:color w:val="000000" w:themeColor="text1"/>
                <w:sz w:val="20"/>
                <w:szCs w:val="20"/>
                <w:lang w:eastAsia="tr-TR"/>
              </w:rPr>
              <w:t>12.1</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63.2 ± </w:t>
            </w:r>
            <w:proofErr w:type="gramStart"/>
            <w:r w:rsidRPr="006E0F91">
              <w:rPr>
                <w:rFonts w:ascii="Times New Roman" w:eastAsia="Times New Roman" w:hAnsi="Times New Roman" w:cs="Times New Roman"/>
                <w:color w:val="000000" w:themeColor="text1"/>
                <w:sz w:val="20"/>
                <w:szCs w:val="20"/>
                <w:lang w:eastAsia="tr-TR"/>
              </w:rPr>
              <w:t>12.3</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2.10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2.23</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0.026</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0.17</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0.25–3.95</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E/A ratio</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1.27 ± 0.33</w:t>
            </w:r>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1.10 ± 0.31</w:t>
            </w:r>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-0.17</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-6.76</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-0.53</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-0.22–-0.12</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Deceleration time</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184 ± 35</w:t>
            </w:r>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184 ± 35</w:t>
            </w:r>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0.00</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1.000</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0.00</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-5.59–5.59</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Septal e′</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8.6 ± </w:t>
            </w:r>
            <w:proofErr w:type="gramStart"/>
            <w:r w:rsidRPr="006E0F91">
              <w:rPr>
                <w:rFonts w:ascii="Times New Roman" w:eastAsia="Times New Roman" w:hAnsi="Times New Roman" w:cs="Times New Roman"/>
                <w:color w:val="000000" w:themeColor="text1"/>
                <w:sz w:val="20"/>
                <w:szCs w:val="20"/>
                <w:lang w:eastAsia="tr-TR"/>
              </w:rPr>
              <w:t>1.5</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8.1 ± </w:t>
            </w:r>
            <w:proofErr w:type="gramStart"/>
            <w:r w:rsidRPr="006E0F91">
              <w:rPr>
                <w:rFonts w:ascii="Times New Roman" w:eastAsia="Times New Roman" w:hAnsi="Times New Roman" w:cs="Times New Roman"/>
                <w:color w:val="000000" w:themeColor="text1"/>
                <w:sz w:val="20"/>
                <w:szCs w:val="20"/>
                <w:lang w:eastAsia="tr-TR"/>
              </w:rPr>
              <w:t>1.4</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-0.50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-4.59</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-0.35</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-0.72–-0.28</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Lateral e′</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11.3 ± </w:t>
            </w:r>
            <w:proofErr w:type="gramStart"/>
            <w:r w:rsidRPr="006E0F91">
              <w:rPr>
                <w:rFonts w:ascii="Times New Roman" w:eastAsia="Times New Roman" w:hAnsi="Times New Roman" w:cs="Times New Roman"/>
                <w:color w:val="000000" w:themeColor="text1"/>
                <w:sz w:val="20"/>
                <w:szCs w:val="20"/>
                <w:lang w:eastAsia="tr-TR"/>
              </w:rPr>
              <w:t>2.0</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10.9 ± </w:t>
            </w:r>
            <w:proofErr w:type="gramStart"/>
            <w:r w:rsidRPr="006E0F91">
              <w:rPr>
                <w:rFonts w:ascii="Times New Roman" w:eastAsia="Times New Roman" w:hAnsi="Times New Roman" w:cs="Times New Roman"/>
                <w:color w:val="000000" w:themeColor="text1"/>
                <w:sz w:val="20"/>
                <w:szCs w:val="20"/>
                <w:lang w:eastAsia="tr-TR"/>
              </w:rPr>
              <w:t>2.1</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-0.40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-2.57</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0.010</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-0.20</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-0.71–-0.09</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Avg E/e′</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8.5 ± </w:t>
            </w:r>
            <w:proofErr w:type="gramStart"/>
            <w:r w:rsidRPr="006E0F91">
              <w:rPr>
                <w:rFonts w:ascii="Times New Roman" w:eastAsia="Times New Roman" w:hAnsi="Times New Roman" w:cs="Times New Roman"/>
                <w:color w:val="000000" w:themeColor="text1"/>
                <w:sz w:val="20"/>
                <w:szCs w:val="20"/>
                <w:lang w:eastAsia="tr-TR"/>
              </w:rPr>
              <w:t>2.1</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8.8 ± </w:t>
            </w:r>
            <w:proofErr w:type="gramStart"/>
            <w:r w:rsidRPr="006E0F91">
              <w:rPr>
                <w:rFonts w:ascii="Times New Roman" w:eastAsia="Times New Roman" w:hAnsi="Times New Roman" w:cs="Times New Roman"/>
                <w:color w:val="000000" w:themeColor="text1"/>
                <w:sz w:val="20"/>
                <w:szCs w:val="20"/>
                <w:lang w:eastAsia="tr-TR"/>
              </w:rPr>
              <w:t>2.0</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1.93</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0.054</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0.15</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-0.01–0.61</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LAVI</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25.1 ± </w:t>
            </w:r>
            <w:proofErr w:type="gramStart"/>
            <w:r w:rsidRPr="006E0F91">
              <w:rPr>
                <w:rFonts w:ascii="Times New Roman" w:eastAsia="Times New Roman" w:hAnsi="Times New Roman" w:cs="Times New Roman"/>
                <w:color w:val="000000" w:themeColor="text1"/>
                <w:sz w:val="20"/>
                <w:szCs w:val="20"/>
                <w:lang w:eastAsia="tr-TR"/>
              </w:rPr>
              <w:t>5.5</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28.1 ± </w:t>
            </w:r>
            <w:proofErr w:type="gramStart"/>
            <w:r w:rsidRPr="006E0F91">
              <w:rPr>
                <w:rFonts w:ascii="Times New Roman" w:eastAsia="Times New Roman" w:hAnsi="Times New Roman" w:cs="Times New Roman"/>
                <w:color w:val="000000" w:themeColor="text1"/>
                <w:sz w:val="20"/>
                <w:szCs w:val="20"/>
                <w:lang w:eastAsia="tr-TR"/>
              </w:rPr>
              <w:t>5.9</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bCs/>
                <w:color w:val="000000" w:themeColor="text1"/>
                <w:sz w:val="20"/>
                <w:szCs w:val="20"/>
                <w:lang w:eastAsia="tr-TR"/>
              </w:rPr>
              <w:t>3.00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bCs/>
                <w:color w:val="000000" w:themeColor="text1"/>
                <w:sz w:val="20"/>
                <w:szCs w:val="20"/>
                <w:lang w:eastAsia="tr-TR"/>
              </w:rPr>
              <w:t>6.77</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bCs/>
                <w:color w:val="000000" w:themeColor="text1"/>
                <w:sz w:val="20"/>
                <w:szCs w:val="20"/>
                <w:lang w:eastAsia="tr-TR"/>
              </w:rPr>
              <w:t>&lt;0.001</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bCs/>
                <w:color w:val="000000" w:themeColor="text1"/>
                <w:sz w:val="20"/>
                <w:szCs w:val="20"/>
                <w:lang w:eastAsia="tr-TR"/>
              </w:rPr>
              <w:t>0.54</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bCs/>
                <w:color w:val="000000" w:themeColor="text1"/>
                <w:sz w:val="20"/>
                <w:szCs w:val="20"/>
                <w:lang w:eastAsia="tr-TR"/>
              </w:rPr>
              <w:t>2.13–3.87</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TR velocity</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2.26 ± 0.23</w:t>
            </w:r>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2.56 ± 0.29</w:t>
            </w:r>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13.2</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1.15</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0.26–0.34</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lastRenderedPageBreak/>
              <w:t>LVMI</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85.4 ± </w:t>
            </w:r>
            <w:proofErr w:type="gramStart"/>
            <w:r w:rsidRPr="006E0F91">
              <w:rPr>
                <w:rFonts w:ascii="Times New Roman" w:eastAsia="Times New Roman" w:hAnsi="Times New Roman" w:cs="Times New Roman"/>
                <w:color w:val="000000" w:themeColor="text1"/>
                <w:sz w:val="20"/>
                <w:szCs w:val="20"/>
                <w:lang w:eastAsia="tr-TR"/>
              </w:rPr>
              <w:t>15.3</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87.2 ± </w:t>
            </w:r>
            <w:proofErr w:type="gramStart"/>
            <w:r w:rsidRPr="006E0F91">
              <w:rPr>
                <w:rFonts w:ascii="Times New Roman" w:eastAsia="Times New Roman" w:hAnsi="Times New Roman" w:cs="Times New Roman"/>
                <w:color w:val="000000" w:themeColor="text1"/>
                <w:sz w:val="20"/>
                <w:szCs w:val="20"/>
                <w:lang w:eastAsia="tr-TR"/>
              </w:rPr>
              <w:t>15.9</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1.80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1.48</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0.139</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0.12</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-0.59–4.19</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RWT</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0.37 ± 0.04</w:t>
            </w:r>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0.39 ± 0.06</w:t>
            </w:r>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0.02</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4.53</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0.36</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0.01–0.03</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LVEF</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62.2 ± </w:t>
            </w:r>
            <w:proofErr w:type="gramStart"/>
            <w:r w:rsidRPr="006E0F91">
              <w:rPr>
                <w:rFonts w:ascii="Times New Roman" w:eastAsia="Times New Roman" w:hAnsi="Times New Roman" w:cs="Times New Roman"/>
                <w:color w:val="000000" w:themeColor="text1"/>
                <w:sz w:val="20"/>
                <w:szCs w:val="20"/>
                <w:lang w:eastAsia="tr-TR"/>
              </w:rPr>
              <w:t>4.6</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61.9 ± </w:t>
            </w:r>
            <w:proofErr w:type="gramStart"/>
            <w:r w:rsidRPr="006E0F91">
              <w:rPr>
                <w:rFonts w:ascii="Times New Roman" w:eastAsia="Times New Roman" w:hAnsi="Times New Roman" w:cs="Times New Roman"/>
                <w:color w:val="000000" w:themeColor="text1"/>
                <w:sz w:val="20"/>
                <w:szCs w:val="20"/>
                <w:lang w:eastAsia="tr-TR"/>
              </w:rPr>
              <w:t>4.9</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-0.88</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0.378</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-0.07</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-0.97–0.37</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Tp-e</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80.2 ± </w:t>
            </w:r>
            <w:proofErr w:type="gramStart"/>
            <w:r w:rsidRPr="006E0F91">
              <w:rPr>
                <w:rFonts w:ascii="Times New Roman" w:eastAsia="Times New Roman" w:hAnsi="Times New Roman" w:cs="Times New Roman"/>
                <w:color w:val="000000" w:themeColor="text1"/>
                <w:sz w:val="20"/>
                <w:szCs w:val="20"/>
                <w:lang w:eastAsia="tr-TR"/>
              </w:rPr>
              <w:t>9.5</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83.3 ± </w:t>
            </w:r>
            <w:proofErr w:type="gramStart"/>
            <w:r w:rsidRPr="006E0F91">
              <w:rPr>
                <w:rFonts w:ascii="Times New Roman" w:eastAsia="Times New Roman" w:hAnsi="Times New Roman" w:cs="Times New Roman"/>
                <w:color w:val="000000" w:themeColor="text1"/>
                <w:sz w:val="20"/>
                <w:szCs w:val="20"/>
                <w:lang w:eastAsia="tr-TR"/>
              </w:rPr>
              <w:t>9.9</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3.10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4.08</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0.31</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1.61–4.59</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QTc</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409 ± 17</w:t>
            </w:r>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413 ± 19</w:t>
            </w:r>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4.00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2.88</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0.004</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0.22</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1.28–6.72</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Tp-e/QTc</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0.191 ± 0.020</w:t>
            </w:r>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0.193 ± 0.021</w:t>
            </w:r>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0.002</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1.23</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0.219</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0.09</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-0.001–0.005</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QT dispersion</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32.3 ± </w:t>
            </w:r>
            <w:proofErr w:type="gramStart"/>
            <w:r w:rsidRPr="006E0F91">
              <w:rPr>
                <w:rFonts w:ascii="Times New Roman" w:eastAsia="Times New Roman" w:hAnsi="Times New Roman" w:cs="Times New Roman"/>
                <w:color w:val="000000" w:themeColor="text1"/>
                <w:sz w:val="20"/>
                <w:szCs w:val="20"/>
                <w:lang w:eastAsia="tr-TR"/>
              </w:rPr>
              <w:t>10.3</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32.9 ± </w:t>
            </w:r>
            <w:proofErr w:type="gramStart"/>
            <w:r w:rsidRPr="006E0F91">
              <w:rPr>
                <w:rFonts w:ascii="Times New Roman" w:eastAsia="Times New Roman" w:hAnsi="Times New Roman" w:cs="Times New Roman"/>
                <w:color w:val="000000" w:themeColor="text1"/>
                <w:sz w:val="20"/>
                <w:szCs w:val="20"/>
                <w:lang w:eastAsia="tr-TR"/>
              </w:rPr>
              <w:t>10.7</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0.60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0.73</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0.466</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0.06</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-0.98–2.18</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Neutrophils</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4.0 ± </w:t>
            </w:r>
            <w:proofErr w:type="gramStart"/>
            <w:r w:rsidRPr="006E0F91">
              <w:rPr>
                <w:rFonts w:ascii="Times New Roman" w:eastAsia="Times New Roman" w:hAnsi="Times New Roman" w:cs="Times New Roman"/>
                <w:color w:val="000000" w:themeColor="text1"/>
                <w:sz w:val="20"/>
                <w:szCs w:val="20"/>
                <w:lang w:eastAsia="tr-TR"/>
              </w:rPr>
              <w:t>1.1</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4.2 ± </w:t>
            </w:r>
            <w:proofErr w:type="gramStart"/>
            <w:r w:rsidRPr="006E0F91">
              <w:rPr>
                <w:rFonts w:ascii="Times New Roman" w:eastAsia="Times New Roman" w:hAnsi="Times New Roman" w:cs="Times New Roman"/>
                <w:color w:val="000000" w:themeColor="text1"/>
                <w:sz w:val="20"/>
                <w:szCs w:val="20"/>
                <w:lang w:eastAsia="tr-TR"/>
              </w:rPr>
              <w:t>1.2</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2.27</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0.024</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0.18</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0.03–0.37</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Lymphocytes</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2.0 ± </w:t>
            </w:r>
            <w:proofErr w:type="gramStart"/>
            <w:r w:rsidRPr="006E0F91">
              <w:rPr>
                <w:rFonts w:ascii="Times New Roman" w:eastAsia="Times New Roman" w:hAnsi="Times New Roman" w:cs="Times New Roman"/>
                <w:color w:val="000000" w:themeColor="text1"/>
                <w:sz w:val="20"/>
                <w:szCs w:val="20"/>
                <w:lang w:eastAsia="tr-TR"/>
              </w:rPr>
              <w:t>0.6</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1.9 ± </w:t>
            </w:r>
            <w:proofErr w:type="gramStart"/>
            <w:r w:rsidRPr="006E0F91">
              <w:rPr>
                <w:rFonts w:ascii="Times New Roman" w:eastAsia="Times New Roman" w:hAnsi="Times New Roman" w:cs="Times New Roman"/>
                <w:color w:val="000000" w:themeColor="text1"/>
                <w:sz w:val="20"/>
                <w:szCs w:val="20"/>
                <w:lang w:eastAsia="tr-TR"/>
              </w:rPr>
              <w:t>0.5</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-2.43</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0.015</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-0.19</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-0.18–-0.02</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NLR</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1.96 ± 0.71</w:t>
            </w:r>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1.99 ± 0.76</w:t>
            </w:r>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0.03</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0.53</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0.595</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0.04</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-0.08–0.14</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CRP</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2.1 ± </w:t>
            </w:r>
            <w:proofErr w:type="gramStart"/>
            <w:r w:rsidRPr="006E0F91">
              <w:rPr>
                <w:rFonts w:ascii="Times New Roman" w:eastAsia="Times New Roman" w:hAnsi="Times New Roman" w:cs="Times New Roman"/>
                <w:color w:val="000000" w:themeColor="text1"/>
                <w:sz w:val="20"/>
                <w:szCs w:val="20"/>
                <w:lang w:eastAsia="tr-TR"/>
              </w:rPr>
              <w:t>0.5</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2.4 ± </w:t>
            </w:r>
            <w:proofErr w:type="gramStart"/>
            <w:r w:rsidRPr="006E0F91">
              <w:rPr>
                <w:rFonts w:ascii="Times New Roman" w:eastAsia="Times New Roman" w:hAnsi="Times New Roman" w:cs="Times New Roman"/>
                <w:color w:val="000000" w:themeColor="text1"/>
                <w:sz w:val="20"/>
                <w:szCs w:val="20"/>
                <w:lang w:eastAsia="tr-TR"/>
              </w:rPr>
              <w:t>0.6</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6.72</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0.55</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0.21–0.39</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Creatinine</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0.91 ± 0.13</w:t>
            </w:r>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0.91 ± 0.13</w:t>
            </w:r>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0.00</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1.000</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0.00</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-0.02–0.02</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Glucose</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96 ± 13</w:t>
            </w:r>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96 ± 13</w:t>
            </w:r>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0.00</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1.000</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0.00</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-1.70–1.70</w:t>
            </w:r>
          </w:p>
        </w:tc>
      </w:tr>
      <w:tr w:rsidR="005D723A" w:rsidRPr="006E0F91" w:rsidTr="006E0F91">
        <w:trPr>
          <w:tblCellSpacing w:w="15" w:type="dxa"/>
        </w:trPr>
        <w:tc>
          <w:tcPr>
            <w:tcW w:w="190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HbA1c</w:t>
            </w:r>
          </w:p>
        </w:tc>
        <w:tc>
          <w:tcPr>
            <w:tcW w:w="1185"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5.5 ± </w:t>
            </w:r>
            <w:proofErr w:type="gramStart"/>
            <w:r w:rsidRPr="006E0F91">
              <w:rPr>
                <w:rFonts w:ascii="Times New Roman" w:eastAsia="Times New Roman" w:hAnsi="Times New Roman" w:cs="Times New Roman"/>
                <w:color w:val="000000" w:themeColor="text1"/>
                <w:sz w:val="20"/>
                <w:szCs w:val="20"/>
                <w:lang w:eastAsia="tr-TR"/>
              </w:rPr>
              <w:t>0.5</w:t>
            </w:r>
            <w:proofErr w:type="gramEnd"/>
          </w:p>
        </w:tc>
        <w:tc>
          <w:tcPr>
            <w:tcW w:w="125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5.5 ± </w:t>
            </w:r>
            <w:proofErr w:type="gramStart"/>
            <w:r w:rsidRPr="006E0F91">
              <w:rPr>
                <w:rFonts w:ascii="Times New Roman" w:eastAsia="Times New Roman" w:hAnsi="Times New Roman" w:cs="Times New Roman"/>
                <w:color w:val="000000" w:themeColor="text1"/>
                <w:sz w:val="20"/>
                <w:szCs w:val="20"/>
                <w:lang w:eastAsia="tr-TR"/>
              </w:rPr>
              <w:t>0.5</w:t>
            </w:r>
            <w:proofErr w:type="gramEnd"/>
          </w:p>
        </w:tc>
        <w:tc>
          <w:tcPr>
            <w:tcW w:w="81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0.00</w:t>
            </w:r>
          </w:p>
        </w:tc>
        <w:tc>
          <w:tcPr>
            <w:tcW w:w="537"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0.00</w:t>
            </w:r>
          </w:p>
        </w:tc>
        <w:tc>
          <w:tcPr>
            <w:tcW w:w="634"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1.000</w:t>
            </w:r>
          </w:p>
        </w:tc>
        <w:tc>
          <w:tcPr>
            <w:tcW w:w="892"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0.00</w:t>
            </w:r>
          </w:p>
        </w:tc>
        <w:tc>
          <w:tcPr>
            <w:tcW w:w="1476" w:type="dxa"/>
            <w:vAlign w:val="center"/>
            <w:hideMark/>
          </w:tcPr>
          <w:p w:rsidR="005D723A" w:rsidRPr="006E0F91" w:rsidRDefault="005D723A" w:rsidP="00266D66">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-0.06–0.06</w:t>
            </w:r>
          </w:p>
        </w:tc>
      </w:tr>
    </w:tbl>
    <w:p w:rsidR="008256AA" w:rsidRPr="008256AA" w:rsidRDefault="008256AA" w:rsidP="00266D66">
      <w:pPr>
        <w:pStyle w:val="NormalWeb"/>
        <w:jc w:val="both"/>
        <w:rPr>
          <w:color w:val="000000" w:themeColor="text1"/>
          <w:sz w:val="20"/>
          <w:szCs w:val="20"/>
        </w:rPr>
      </w:pPr>
      <w:proofErr w:type="gramStart"/>
      <w:r w:rsidRPr="008256AA">
        <w:rPr>
          <w:rStyle w:val="Gl"/>
          <w:rFonts w:eastAsiaTheme="majorEastAsia"/>
          <w:color w:val="000000" w:themeColor="text1"/>
          <w:sz w:val="20"/>
          <w:szCs w:val="20"/>
        </w:rPr>
        <w:t>Abbreviations:</w:t>
      </w:r>
      <w:r w:rsidRPr="008256AA">
        <w:rPr>
          <w:color w:val="000000" w:themeColor="text1"/>
          <w:sz w:val="20"/>
          <w:szCs w:val="20"/>
        </w:rPr>
        <w:br/>
        <w:t>ABPM, ambulatory blood pressure monitoring; ARV, average real variability; BMI, body mass index; CI, confidence interval; CRP, C-reactive protein; DBP, diastolic blood pressure; DMS, diastolic morning surge; E/A, ratio of early to late transmitral flow velocities; E/e′, ratio of transmitral E velocity to mitral annular e′ velocity; HbA1c, glycated hemoglobin; HR, heart rate; LAVI, left atrial volume index; LVDD, left ventricular diastolic dysfunction; LVEF, left ventricular ejection fraction; LVMI, left ventricular mass index; NLR, neutrophil-to-lymphocyte ratio; QTc, corrected QT interval; RWT, relative wall thickness; SBP, systolic blood pressure; SMS, systolic morning surge; Tp-e, T-peak–to–T-end interval; TR, tricuspid regurgitation.</w:t>
      </w:r>
      <w:proofErr w:type="gramEnd"/>
    </w:p>
    <w:p w:rsidR="008256AA" w:rsidRPr="008256AA" w:rsidRDefault="008256AA" w:rsidP="00266D66">
      <w:pPr>
        <w:pStyle w:val="NormalWeb"/>
        <w:jc w:val="both"/>
        <w:rPr>
          <w:color w:val="000000" w:themeColor="text1"/>
          <w:sz w:val="20"/>
          <w:szCs w:val="20"/>
        </w:rPr>
      </w:pPr>
      <w:r w:rsidRPr="008256AA">
        <w:rPr>
          <w:rStyle w:val="Gl"/>
          <w:rFonts w:eastAsiaTheme="majorEastAsia"/>
          <w:color w:val="000000" w:themeColor="text1"/>
          <w:sz w:val="20"/>
          <w:szCs w:val="20"/>
        </w:rPr>
        <w:t>Footnote:</w:t>
      </w:r>
      <w:r w:rsidRPr="008256AA">
        <w:rPr>
          <w:color w:val="000000" w:themeColor="text1"/>
          <w:sz w:val="20"/>
          <w:szCs w:val="20"/>
        </w:rPr>
        <w:br/>
        <w:t>Values are presented as mean ± standard deviation for normally distributed continuous variables, median with interquartile range for skewed variables, and number with percentage for categorical variables. Between-group comparisons were performed using Student’s t-test, Mann–Whitney U test, or chi-square test, as appropriate. Effect sizes are expressed as Cohen’s d for continuous variables and Cohen’s h for categorical variables. This comparison was performed to characterize whether the indeterminate subgroup more closely resembled definite normal diastolic function or definite LVDD.</w:t>
      </w:r>
    </w:p>
    <w:p w:rsidR="00BA6EC4" w:rsidRPr="006E0F91" w:rsidRDefault="00BA6EC4" w:rsidP="00266D66">
      <w:pPr>
        <w:pStyle w:val="Balk2"/>
        <w:spacing w:before="0" w:beforeAutospacing="0" w:after="0" w:afterAutospacing="0"/>
        <w:jc w:val="both"/>
        <w:rPr>
          <w:color w:val="000000" w:themeColor="text1"/>
          <w:sz w:val="24"/>
          <w:szCs w:val="24"/>
        </w:rPr>
      </w:pPr>
      <w:r w:rsidRPr="006E0F91">
        <w:rPr>
          <w:color w:val="000000" w:themeColor="text1"/>
          <w:sz w:val="24"/>
          <w:szCs w:val="24"/>
        </w:rPr>
        <w:t>Supplementary Table S3. Baseline characteristics of participants with indeterminate diastolic function versus definite LVDD</w:t>
      </w:r>
    </w:p>
    <w:tbl>
      <w:tblPr>
        <w:tblW w:w="0" w:type="auto"/>
        <w:tblCellSpacing w:w="15" w:type="dxa"/>
        <w:tblCellMar>
          <w:top w:w="15" w:type="dxa"/>
          <w:left w:w="15" w:type="dxa"/>
          <w:bottom w:w="15" w:type="dxa"/>
          <w:right w:w="15" w:type="dxa"/>
        </w:tblCellMar>
        <w:tblLook w:val="04A0"/>
      </w:tblPr>
      <w:tblGrid>
        <w:gridCol w:w="1654"/>
        <w:gridCol w:w="1510"/>
        <w:gridCol w:w="1701"/>
        <w:gridCol w:w="997"/>
        <w:gridCol w:w="592"/>
        <w:gridCol w:w="623"/>
        <w:gridCol w:w="765"/>
        <w:gridCol w:w="1320"/>
      </w:tblGrid>
      <w:tr w:rsidR="005D723A" w:rsidRPr="006E0F91" w:rsidTr="006E0F91">
        <w:trPr>
          <w:tblHeade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Variable</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LVDD+ (n=140) Mean ± SD</w:t>
            </w:r>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 xml:space="preserve">Indeterminate </w:t>
            </w:r>
          </w:p>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(n=245) Mean ± SD</w:t>
            </w:r>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Mean Diff</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proofErr w:type="gramStart"/>
            <w:r w:rsidRPr="006E0F91">
              <w:rPr>
                <w:rFonts w:ascii="Times New Roman" w:eastAsia="Times New Roman" w:hAnsi="Times New Roman" w:cs="Times New Roman"/>
                <w:b/>
                <w:bCs/>
                <w:color w:val="000000" w:themeColor="text1"/>
                <w:sz w:val="20"/>
                <w:szCs w:val="20"/>
                <w:lang w:eastAsia="tr-TR"/>
              </w:rPr>
              <w:t>t</w:t>
            </w:r>
            <w:proofErr w:type="gramEnd"/>
            <w:r w:rsidRPr="006E0F91">
              <w:rPr>
                <w:rFonts w:ascii="Times New Roman" w:eastAsia="Times New Roman" w:hAnsi="Times New Roman" w:cs="Times New Roman"/>
                <w:b/>
                <w:bCs/>
                <w:color w:val="000000" w:themeColor="text1"/>
                <w:sz w:val="20"/>
                <w:szCs w:val="20"/>
                <w:lang w:eastAsia="tr-TR"/>
              </w:rPr>
              <w:t>/z</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proofErr w:type="gramStart"/>
            <w:r w:rsidRPr="006E0F91">
              <w:rPr>
                <w:rFonts w:ascii="Times New Roman" w:eastAsia="Times New Roman" w:hAnsi="Times New Roman" w:cs="Times New Roman"/>
                <w:b/>
                <w:bCs/>
                <w:color w:val="000000" w:themeColor="text1"/>
                <w:sz w:val="20"/>
                <w:szCs w:val="20"/>
                <w:lang w:eastAsia="tr-TR"/>
              </w:rPr>
              <w:t>p</w:t>
            </w:r>
            <w:proofErr w:type="gramEnd"/>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Cohen’s d/h</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95% CI</w:t>
            </w:r>
          </w:p>
        </w:tc>
      </w:tr>
      <w:tr w:rsidR="005D723A" w:rsidRPr="00BC5E5A" w:rsidTr="006E0F91">
        <w:trPr>
          <w:tblCellSpacing w:w="15" w:type="dxa"/>
        </w:trPr>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Age (years)</w:t>
            </w:r>
          </w:p>
        </w:tc>
        <w:tc>
          <w:tcPr>
            <w:tcW w:w="1480"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 xml:space="preserve">43.9 ± </w:t>
            </w:r>
            <w:proofErr w:type="gramStart"/>
            <w:r w:rsidRPr="00BC5E5A">
              <w:rPr>
                <w:rFonts w:ascii="Times New Roman" w:eastAsia="Times New Roman" w:hAnsi="Times New Roman" w:cs="Times New Roman"/>
                <w:color w:val="000000" w:themeColor="text1"/>
                <w:sz w:val="20"/>
                <w:szCs w:val="20"/>
                <w:lang w:eastAsia="tr-TR"/>
              </w:rPr>
              <w:t>4.3</w:t>
            </w:r>
            <w:proofErr w:type="gramEnd"/>
          </w:p>
        </w:tc>
        <w:tc>
          <w:tcPr>
            <w:tcW w:w="1671"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 xml:space="preserve">43.5 ± </w:t>
            </w:r>
            <w:proofErr w:type="gramStart"/>
            <w:r w:rsidRPr="00BC5E5A">
              <w:rPr>
                <w:rFonts w:ascii="Times New Roman" w:eastAsia="Times New Roman" w:hAnsi="Times New Roman" w:cs="Times New Roman"/>
                <w:color w:val="000000" w:themeColor="text1"/>
                <w:sz w:val="20"/>
                <w:szCs w:val="20"/>
                <w:lang w:eastAsia="tr-TR"/>
              </w:rPr>
              <w:t>4.0</w:t>
            </w:r>
            <w:proofErr w:type="gramEnd"/>
          </w:p>
        </w:tc>
        <w:tc>
          <w:tcPr>
            <w:tcW w:w="967"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0.40</w:t>
            </w:r>
          </w:p>
        </w:tc>
        <w:tc>
          <w:tcPr>
            <w:tcW w:w="562"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0.67</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0.503</w:t>
            </w:r>
          </w:p>
        </w:tc>
        <w:tc>
          <w:tcPr>
            <w:tcW w:w="735"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0.07</w:t>
            </w:r>
          </w:p>
        </w:tc>
        <w:tc>
          <w:tcPr>
            <w:tcW w:w="1275"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-0.59–1.19</w:t>
            </w:r>
          </w:p>
        </w:tc>
      </w:tr>
      <w:tr w:rsidR="005D723A" w:rsidRPr="00BC5E5A" w:rsidTr="006E0F91">
        <w:trPr>
          <w:tblCellSpacing w:w="15" w:type="dxa"/>
        </w:trPr>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BMI (kg/m²)</w:t>
            </w:r>
          </w:p>
        </w:tc>
        <w:tc>
          <w:tcPr>
            <w:tcW w:w="1480"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 xml:space="preserve">25.7 ± </w:t>
            </w:r>
            <w:proofErr w:type="gramStart"/>
            <w:r w:rsidRPr="00BC5E5A">
              <w:rPr>
                <w:rFonts w:ascii="Times New Roman" w:eastAsia="Times New Roman" w:hAnsi="Times New Roman" w:cs="Times New Roman"/>
                <w:color w:val="000000" w:themeColor="text1"/>
                <w:sz w:val="20"/>
                <w:szCs w:val="20"/>
                <w:lang w:eastAsia="tr-TR"/>
              </w:rPr>
              <w:t>4.1</w:t>
            </w:r>
            <w:proofErr w:type="gramEnd"/>
          </w:p>
        </w:tc>
        <w:tc>
          <w:tcPr>
            <w:tcW w:w="1671"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 xml:space="preserve">25.2 ± </w:t>
            </w:r>
            <w:proofErr w:type="gramStart"/>
            <w:r w:rsidRPr="00BC5E5A">
              <w:rPr>
                <w:rFonts w:ascii="Times New Roman" w:eastAsia="Times New Roman" w:hAnsi="Times New Roman" w:cs="Times New Roman"/>
                <w:color w:val="000000" w:themeColor="text1"/>
                <w:sz w:val="20"/>
                <w:szCs w:val="20"/>
                <w:lang w:eastAsia="tr-TR"/>
              </w:rPr>
              <w:t>3.6</w:t>
            </w:r>
            <w:proofErr w:type="gramEnd"/>
          </w:p>
        </w:tc>
        <w:tc>
          <w:tcPr>
            <w:tcW w:w="967"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-0.50</w:t>
            </w:r>
          </w:p>
        </w:tc>
        <w:tc>
          <w:tcPr>
            <w:tcW w:w="562"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-1.18</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0.238</w:t>
            </w:r>
          </w:p>
        </w:tc>
        <w:tc>
          <w:tcPr>
            <w:tcW w:w="735"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-0.13</w:t>
            </w:r>
          </w:p>
        </w:tc>
        <w:tc>
          <w:tcPr>
            <w:tcW w:w="1275"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-1.33–0.33</w:t>
            </w:r>
          </w:p>
        </w:tc>
      </w:tr>
      <w:tr w:rsidR="005D723A" w:rsidRPr="00BC5E5A" w:rsidTr="006E0F91">
        <w:trPr>
          <w:tblCellSpacing w:w="15" w:type="dxa"/>
        </w:trPr>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Male Sex, n(%)</w:t>
            </w:r>
          </w:p>
        </w:tc>
        <w:tc>
          <w:tcPr>
            <w:tcW w:w="1480" w:type="dxa"/>
            <w:hideMark/>
          </w:tcPr>
          <w:p w:rsidR="005D723A" w:rsidRPr="00BC5E5A" w:rsidRDefault="005D723A" w:rsidP="00266D66">
            <w:pPr>
              <w:spacing w:after="0" w:line="240" w:lineRule="auto"/>
              <w:jc w:val="both"/>
              <w:rPr>
                <w:rFonts w:ascii="Times New Roman" w:hAnsi="Times New Roman" w:cs="Times New Roman"/>
                <w:vanish/>
                <w:color w:val="000000" w:themeColor="text1"/>
                <w:sz w:val="20"/>
                <w:szCs w:val="20"/>
              </w:rPr>
            </w:pPr>
            <w:r w:rsidRPr="00BC5E5A">
              <w:rPr>
                <w:rFonts w:ascii="Times New Roman" w:hAnsi="Times New Roman" w:cs="Times New Roman"/>
                <w:color w:val="000000" w:themeColor="text1"/>
                <w:sz w:val="20"/>
                <w:szCs w:val="20"/>
              </w:rPr>
              <w:t>95 (</w:t>
            </w:r>
            <w:proofErr w:type="gramStart"/>
            <w:r w:rsidRPr="00BC5E5A">
              <w:rPr>
                <w:rFonts w:ascii="Times New Roman" w:hAnsi="Times New Roman" w:cs="Times New Roman"/>
                <w:color w:val="000000" w:themeColor="text1"/>
                <w:sz w:val="20"/>
                <w:szCs w:val="20"/>
              </w:rPr>
              <w:t>67.8</w:t>
            </w:r>
            <w:proofErr w:type="gramEnd"/>
            <w:r w:rsidRPr="00BC5E5A">
              <w:rPr>
                <w:rFonts w:ascii="Times New Roman" w:hAnsi="Times New Roman" w:cs="Times New Roman"/>
                <w:color w:val="000000" w:themeColor="text1"/>
                <w:sz w:val="20"/>
                <w:szCs w:val="20"/>
              </w:rPr>
              <w:t>%)</w:t>
            </w:r>
          </w:p>
        </w:tc>
        <w:tc>
          <w:tcPr>
            <w:tcW w:w="1671" w:type="dxa"/>
            <w:hideMark/>
          </w:tcPr>
          <w:tbl>
            <w:tblPr>
              <w:tblW w:w="0" w:type="auto"/>
              <w:tblCellSpacing w:w="15" w:type="dxa"/>
              <w:tblCellMar>
                <w:top w:w="15" w:type="dxa"/>
                <w:left w:w="15" w:type="dxa"/>
                <w:bottom w:w="15" w:type="dxa"/>
                <w:right w:w="15" w:type="dxa"/>
              </w:tblCellMar>
              <w:tblLook w:val="04A0"/>
            </w:tblPr>
            <w:tblGrid>
              <w:gridCol w:w="1155"/>
            </w:tblGrid>
            <w:tr w:rsidR="005D723A" w:rsidRPr="00BC5E5A" w:rsidTr="006E0F91">
              <w:trPr>
                <w:tblCellSpacing w:w="15" w:type="dxa"/>
              </w:trPr>
              <w:tc>
                <w:tcPr>
                  <w:tcW w:w="1095" w:type="dxa"/>
                  <w:vAlign w:val="center"/>
                  <w:hideMark/>
                </w:tcPr>
                <w:p w:rsidR="005D723A" w:rsidRPr="00BC5E5A" w:rsidRDefault="005D723A" w:rsidP="00266D66">
                  <w:pPr>
                    <w:spacing w:after="0" w:line="240" w:lineRule="auto"/>
                    <w:jc w:val="both"/>
                    <w:rPr>
                      <w:rFonts w:ascii="Times New Roman" w:hAnsi="Times New Roman" w:cs="Times New Roman"/>
                      <w:color w:val="000000" w:themeColor="text1"/>
                      <w:sz w:val="20"/>
                      <w:szCs w:val="20"/>
                    </w:rPr>
                  </w:pPr>
                  <w:r w:rsidRPr="00BC5E5A">
                    <w:rPr>
                      <w:rFonts w:ascii="Times New Roman" w:hAnsi="Times New Roman" w:cs="Times New Roman"/>
                      <w:color w:val="000000" w:themeColor="text1"/>
                      <w:sz w:val="20"/>
                      <w:szCs w:val="20"/>
                    </w:rPr>
                    <w:t>160 (</w:t>
                  </w:r>
                  <w:proofErr w:type="gramStart"/>
                  <w:r w:rsidRPr="00BC5E5A">
                    <w:rPr>
                      <w:rFonts w:ascii="Times New Roman" w:hAnsi="Times New Roman" w:cs="Times New Roman"/>
                      <w:color w:val="000000" w:themeColor="text1"/>
                      <w:sz w:val="20"/>
                      <w:szCs w:val="20"/>
                    </w:rPr>
                    <w:t>65.3</w:t>
                  </w:r>
                  <w:proofErr w:type="gramEnd"/>
                  <w:r w:rsidRPr="00BC5E5A">
                    <w:rPr>
                      <w:rFonts w:ascii="Times New Roman" w:hAnsi="Times New Roman" w:cs="Times New Roman"/>
                      <w:color w:val="000000" w:themeColor="text1"/>
                      <w:sz w:val="20"/>
                      <w:szCs w:val="20"/>
                    </w:rPr>
                    <w:t>%)</w:t>
                  </w:r>
                </w:p>
              </w:tc>
            </w:tr>
          </w:tbl>
          <w:p w:rsidR="005D723A" w:rsidRPr="00BC5E5A" w:rsidRDefault="005D723A" w:rsidP="00266D66">
            <w:pPr>
              <w:spacing w:after="0" w:line="240" w:lineRule="auto"/>
              <w:jc w:val="both"/>
              <w:rPr>
                <w:rFonts w:ascii="Times New Roman" w:hAnsi="Times New Roman" w:cs="Times New Roman"/>
                <w:color w:val="000000" w:themeColor="text1"/>
                <w:sz w:val="20"/>
                <w:szCs w:val="20"/>
              </w:rPr>
            </w:pPr>
          </w:p>
        </w:tc>
        <w:tc>
          <w:tcPr>
            <w:tcW w:w="967"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hAnsi="Times New Roman" w:cs="Times New Roman"/>
                <w:color w:val="000000" w:themeColor="text1"/>
                <w:sz w:val="20"/>
                <w:szCs w:val="20"/>
              </w:rPr>
              <w:t>0.025</w:t>
            </w:r>
          </w:p>
        </w:tc>
        <w:tc>
          <w:tcPr>
            <w:tcW w:w="562"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hAnsi="Times New Roman" w:cs="Times New Roman"/>
                <w:color w:val="000000" w:themeColor="text1"/>
                <w:sz w:val="20"/>
                <w:szCs w:val="20"/>
              </w:rPr>
              <w:t>0.49</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hAnsi="Times New Roman" w:cs="Times New Roman"/>
                <w:color w:val="000000" w:themeColor="text1"/>
                <w:sz w:val="20"/>
                <w:szCs w:val="20"/>
              </w:rPr>
              <w:t>0.62</w:t>
            </w:r>
          </w:p>
        </w:tc>
        <w:tc>
          <w:tcPr>
            <w:tcW w:w="735"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hAnsi="Times New Roman" w:cs="Times New Roman"/>
                <w:color w:val="000000" w:themeColor="text1"/>
                <w:sz w:val="20"/>
                <w:szCs w:val="20"/>
              </w:rPr>
              <w:t>0.05</w:t>
            </w:r>
          </w:p>
        </w:tc>
        <w:tc>
          <w:tcPr>
            <w:tcW w:w="1275"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hAnsi="Times New Roman" w:cs="Times New Roman"/>
                <w:color w:val="000000" w:themeColor="text1"/>
                <w:sz w:val="20"/>
                <w:szCs w:val="20"/>
              </w:rPr>
              <w:t>−0.08 – 0.12</w:t>
            </w:r>
          </w:p>
        </w:tc>
      </w:tr>
      <w:tr w:rsidR="005D723A" w:rsidRPr="00BC5E5A" w:rsidTr="006E0F91">
        <w:trPr>
          <w:tblCellSpacing w:w="15" w:type="dxa"/>
        </w:trPr>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hAnsi="Times New Roman" w:cs="Times New Roman"/>
                <w:color w:val="000000" w:themeColor="text1"/>
                <w:sz w:val="20"/>
                <w:szCs w:val="20"/>
              </w:rPr>
              <w:t>Hypertension history</w:t>
            </w:r>
          </w:p>
        </w:tc>
        <w:tc>
          <w:tcPr>
            <w:tcW w:w="1480" w:type="dxa"/>
            <w:vAlign w:val="center"/>
            <w:hideMark/>
          </w:tcPr>
          <w:p w:rsidR="005D723A" w:rsidRPr="00BC5E5A" w:rsidRDefault="005D723A" w:rsidP="00266D66">
            <w:pPr>
              <w:spacing w:after="0" w:line="240" w:lineRule="auto"/>
              <w:jc w:val="both"/>
              <w:rPr>
                <w:rFonts w:ascii="Times New Roman" w:hAnsi="Times New Roman" w:cs="Times New Roman"/>
                <w:color w:val="000000" w:themeColor="text1"/>
                <w:sz w:val="20"/>
                <w:szCs w:val="20"/>
              </w:rPr>
            </w:pPr>
            <w:r w:rsidRPr="00BC5E5A">
              <w:rPr>
                <w:rFonts w:ascii="Times New Roman" w:hAnsi="Times New Roman" w:cs="Times New Roman"/>
                <w:color w:val="000000" w:themeColor="text1"/>
                <w:sz w:val="20"/>
                <w:szCs w:val="20"/>
              </w:rPr>
              <w:t>72 (</w:t>
            </w:r>
            <w:proofErr w:type="gramStart"/>
            <w:r w:rsidRPr="00BC5E5A">
              <w:rPr>
                <w:rFonts w:ascii="Times New Roman" w:hAnsi="Times New Roman" w:cs="Times New Roman"/>
                <w:color w:val="000000" w:themeColor="text1"/>
                <w:sz w:val="20"/>
                <w:szCs w:val="20"/>
              </w:rPr>
              <w:t>51.4</w:t>
            </w:r>
            <w:proofErr w:type="gramEnd"/>
            <w:r w:rsidRPr="00BC5E5A">
              <w:rPr>
                <w:rFonts w:ascii="Times New Roman" w:hAnsi="Times New Roman" w:cs="Times New Roman"/>
                <w:color w:val="000000" w:themeColor="text1"/>
                <w:sz w:val="20"/>
                <w:szCs w:val="20"/>
              </w:rPr>
              <w:t>%)</w:t>
            </w:r>
          </w:p>
        </w:tc>
        <w:tc>
          <w:tcPr>
            <w:tcW w:w="1671"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71(29%)</w:t>
            </w:r>
          </w:p>
        </w:tc>
        <w:tc>
          <w:tcPr>
            <w:tcW w:w="967"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hAnsi="Times New Roman" w:cs="Times New Roman"/>
                <w:color w:val="000000" w:themeColor="text1"/>
                <w:sz w:val="20"/>
                <w:szCs w:val="20"/>
              </w:rPr>
              <w:t>0.224</w:t>
            </w:r>
          </w:p>
        </w:tc>
        <w:tc>
          <w:tcPr>
            <w:tcW w:w="562"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hAnsi="Times New Roman" w:cs="Times New Roman"/>
                <w:color w:val="000000" w:themeColor="text1"/>
                <w:sz w:val="20"/>
                <w:szCs w:val="20"/>
              </w:rPr>
              <w:t>4.37</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hAnsi="Times New Roman" w:cs="Times New Roman"/>
                <w:color w:val="000000" w:themeColor="text1"/>
                <w:sz w:val="20"/>
                <w:szCs w:val="20"/>
              </w:rPr>
              <w:t>&lt;0.001</w:t>
            </w:r>
          </w:p>
        </w:tc>
        <w:tc>
          <w:tcPr>
            <w:tcW w:w="735"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hAnsi="Times New Roman" w:cs="Times New Roman"/>
                <w:color w:val="000000" w:themeColor="text1"/>
                <w:sz w:val="20"/>
                <w:szCs w:val="20"/>
              </w:rPr>
              <w:t>0.46</w:t>
            </w:r>
          </w:p>
        </w:tc>
        <w:tc>
          <w:tcPr>
            <w:tcW w:w="1275"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hAnsi="Times New Roman" w:cs="Times New Roman"/>
                <w:color w:val="000000" w:themeColor="text1"/>
                <w:sz w:val="20"/>
                <w:szCs w:val="20"/>
              </w:rPr>
              <w:t>0.12 – 0.32</w:t>
            </w:r>
          </w:p>
        </w:tc>
      </w:tr>
      <w:tr w:rsidR="005D723A" w:rsidRPr="00BC5E5A" w:rsidTr="006E0F91">
        <w:trPr>
          <w:tblCellSpacing w:w="15" w:type="dxa"/>
        </w:trPr>
        <w:tc>
          <w:tcPr>
            <w:tcW w:w="0" w:type="auto"/>
            <w:vAlign w:val="center"/>
            <w:hideMark/>
          </w:tcPr>
          <w:p w:rsidR="005D723A" w:rsidRPr="00BC5E5A" w:rsidRDefault="005D723A" w:rsidP="00266D66">
            <w:pPr>
              <w:spacing w:after="0" w:line="240" w:lineRule="auto"/>
              <w:jc w:val="both"/>
              <w:rPr>
                <w:rFonts w:ascii="Times New Roman" w:hAnsi="Times New Roman" w:cs="Times New Roman"/>
                <w:color w:val="000000" w:themeColor="text1"/>
                <w:sz w:val="20"/>
                <w:szCs w:val="20"/>
              </w:rPr>
            </w:pPr>
            <w:r w:rsidRPr="00BC5E5A">
              <w:rPr>
                <w:rFonts w:ascii="Times New Roman" w:hAnsi="Times New Roman" w:cs="Times New Roman"/>
                <w:color w:val="000000" w:themeColor="text1"/>
                <w:sz w:val="20"/>
                <w:szCs w:val="20"/>
              </w:rPr>
              <w:t>Diabetes mellitus</w:t>
            </w:r>
          </w:p>
        </w:tc>
        <w:tc>
          <w:tcPr>
            <w:tcW w:w="1480" w:type="dxa"/>
            <w:hideMark/>
          </w:tcPr>
          <w:p w:rsidR="005D723A" w:rsidRPr="00BC5E5A" w:rsidRDefault="005D723A" w:rsidP="00266D66">
            <w:pPr>
              <w:spacing w:after="0" w:line="240" w:lineRule="auto"/>
              <w:jc w:val="both"/>
              <w:rPr>
                <w:rFonts w:ascii="Times New Roman" w:hAnsi="Times New Roman" w:cs="Times New Roman"/>
                <w:vanish/>
                <w:color w:val="000000" w:themeColor="text1"/>
                <w:sz w:val="20"/>
                <w:szCs w:val="20"/>
              </w:rPr>
            </w:pPr>
            <w:r w:rsidRPr="00BC5E5A">
              <w:rPr>
                <w:rFonts w:ascii="Times New Roman" w:hAnsi="Times New Roman" w:cs="Times New Roman"/>
                <w:color w:val="000000" w:themeColor="text1"/>
                <w:sz w:val="20"/>
                <w:szCs w:val="20"/>
              </w:rPr>
              <w:t>29 (</w:t>
            </w:r>
            <w:proofErr w:type="gramStart"/>
            <w:r w:rsidRPr="00BC5E5A">
              <w:rPr>
                <w:rFonts w:ascii="Times New Roman" w:hAnsi="Times New Roman" w:cs="Times New Roman"/>
                <w:color w:val="000000" w:themeColor="text1"/>
                <w:sz w:val="20"/>
                <w:szCs w:val="20"/>
              </w:rPr>
              <w:t>20.7</w:t>
            </w:r>
            <w:proofErr w:type="gramEnd"/>
            <w:r w:rsidRPr="00BC5E5A">
              <w:rPr>
                <w:rFonts w:ascii="Times New Roman" w:hAnsi="Times New Roman" w:cs="Times New Roman"/>
                <w:color w:val="000000" w:themeColor="text1"/>
                <w:sz w:val="20"/>
                <w:szCs w:val="20"/>
              </w:rPr>
              <w:t>%)</w:t>
            </w:r>
          </w:p>
        </w:tc>
        <w:tc>
          <w:tcPr>
            <w:tcW w:w="1671" w:type="dxa"/>
            <w:hideMark/>
          </w:tcPr>
          <w:tbl>
            <w:tblPr>
              <w:tblW w:w="0" w:type="auto"/>
              <w:tblCellSpacing w:w="15" w:type="dxa"/>
              <w:tblCellMar>
                <w:top w:w="15" w:type="dxa"/>
                <w:left w:w="15" w:type="dxa"/>
                <w:bottom w:w="15" w:type="dxa"/>
                <w:right w:w="15" w:type="dxa"/>
              </w:tblCellMar>
              <w:tblLook w:val="04A0"/>
            </w:tblPr>
            <w:tblGrid>
              <w:gridCol w:w="1170"/>
            </w:tblGrid>
            <w:tr w:rsidR="005D723A" w:rsidRPr="00BC5E5A" w:rsidTr="006E0F91">
              <w:trPr>
                <w:tblCellSpacing w:w="15" w:type="dxa"/>
              </w:trPr>
              <w:tc>
                <w:tcPr>
                  <w:tcW w:w="1110" w:type="dxa"/>
                  <w:vAlign w:val="center"/>
                  <w:hideMark/>
                </w:tcPr>
                <w:p w:rsidR="005D723A" w:rsidRPr="00BC5E5A" w:rsidRDefault="005D723A" w:rsidP="00266D66">
                  <w:pPr>
                    <w:spacing w:after="0" w:line="240" w:lineRule="auto"/>
                    <w:jc w:val="both"/>
                    <w:rPr>
                      <w:rFonts w:ascii="Times New Roman" w:hAnsi="Times New Roman" w:cs="Times New Roman"/>
                      <w:color w:val="000000" w:themeColor="text1"/>
                      <w:sz w:val="20"/>
                      <w:szCs w:val="20"/>
                    </w:rPr>
                  </w:pPr>
                  <w:r w:rsidRPr="00BC5E5A">
                    <w:rPr>
                      <w:rFonts w:ascii="Times New Roman" w:hAnsi="Times New Roman" w:cs="Times New Roman"/>
                      <w:color w:val="000000" w:themeColor="text1"/>
                      <w:sz w:val="20"/>
                      <w:szCs w:val="20"/>
                    </w:rPr>
                    <w:t>25 (</w:t>
                  </w:r>
                  <w:proofErr w:type="gramStart"/>
                  <w:r w:rsidRPr="00BC5E5A">
                    <w:rPr>
                      <w:rFonts w:ascii="Times New Roman" w:hAnsi="Times New Roman" w:cs="Times New Roman"/>
                      <w:color w:val="000000" w:themeColor="text1"/>
                      <w:sz w:val="20"/>
                      <w:szCs w:val="20"/>
                    </w:rPr>
                    <w:t>10.2</w:t>
                  </w:r>
                  <w:proofErr w:type="gramEnd"/>
                  <w:r w:rsidRPr="00BC5E5A">
                    <w:rPr>
                      <w:rFonts w:ascii="Times New Roman" w:hAnsi="Times New Roman" w:cs="Times New Roman"/>
                      <w:color w:val="000000" w:themeColor="text1"/>
                      <w:sz w:val="20"/>
                      <w:szCs w:val="20"/>
                    </w:rPr>
                    <w:t>%)</w:t>
                  </w:r>
                </w:p>
              </w:tc>
            </w:tr>
          </w:tbl>
          <w:p w:rsidR="005D723A" w:rsidRPr="00BC5E5A" w:rsidRDefault="005D723A" w:rsidP="00266D66">
            <w:pPr>
              <w:spacing w:after="0" w:line="240" w:lineRule="auto"/>
              <w:jc w:val="both"/>
              <w:rPr>
                <w:rFonts w:ascii="Times New Roman" w:hAnsi="Times New Roman" w:cs="Times New Roman"/>
                <w:color w:val="000000" w:themeColor="text1"/>
                <w:sz w:val="20"/>
                <w:szCs w:val="20"/>
              </w:rPr>
            </w:pPr>
          </w:p>
        </w:tc>
        <w:tc>
          <w:tcPr>
            <w:tcW w:w="967"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hAnsi="Times New Roman" w:cs="Times New Roman"/>
                <w:color w:val="000000" w:themeColor="text1"/>
                <w:sz w:val="20"/>
                <w:szCs w:val="20"/>
              </w:rPr>
              <w:t>0.105</w:t>
            </w:r>
          </w:p>
        </w:tc>
        <w:tc>
          <w:tcPr>
            <w:tcW w:w="562"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hAnsi="Times New Roman" w:cs="Times New Roman"/>
                <w:color w:val="000000" w:themeColor="text1"/>
                <w:sz w:val="20"/>
                <w:szCs w:val="20"/>
              </w:rPr>
              <w:t>2.81</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hAnsi="Times New Roman" w:cs="Times New Roman"/>
                <w:color w:val="000000" w:themeColor="text1"/>
                <w:sz w:val="20"/>
                <w:szCs w:val="20"/>
              </w:rPr>
              <w:t>0.005</w:t>
            </w:r>
          </w:p>
        </w:tc>
        <w:tc>
          <w:tcPr>
            <w:tcW w:w="735"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hAnsi="Times New Roman" w:cs="Times New Roman"/>
                <w:color w:val="000000" w:themeColor="text1"/>
                <w:sz w:val="20"/>
                <w:szCs w:val="20"/>
              </w:rPr>
              <w:t>0.29</w:t>
            </w:r>
          </w:p>
        </w:tc>
        <w:tc>
          <w:tcPr>
            <w:tcW w:w="1275"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hAnsi="Times New Roman" w:cs="Times New Roman"/>
                <w:color w:val="000000" w:themeColor="text1"/>
                <w:sz w:val="20"/>
                <w:szCs w:val="20"/>
              </w:rPr>
              <w:t>0.032 – 0.18</w:t>
            </w:r>
          </w:p>
        </w:tc>
      </w:tr>
      <w:tr w:rsidR="005D723A" w:rsidRPr="00BC5E5A" w:rsidTr="006E0F91">
        <w:trPr>
          <w:tblCellSpacing w:w="15" w:type="dxa"/>
        </w:trPr>
        <w:tc>
          <w:tcPr>
            <w:tcW w:w="0" w:type="auto"/>
            <w:vAlign w:val="center"/>
            <w:hideMark/>
          </w:tcPr>
          <w:p w:rsidR="005D723A" w:rsidRPr="00BC5E5A" w:rsidRDefault="005D723A" w:rsidP="00266D66">
            <w:pPr>
              <w:spacing w:after="0" w:line="240" w:lineRule="auto"/>
              <w:jc w:val="both"/>
              <w:rPr>
                <w:rFonts w:ascii="Times New Roman" w:hAnsi="Times New Roman" w:cs="Times New Roman"/>
                <w:color w:val="000000" w:themeColor="text1"/>
                <w:sz w:val="20"/>
                <w:szCs w:val="20"/>
              </w:rPr>
            </w:pPr>
            <w:r w:rsidRPr="00BC5E5A">
              <w:rPr>
                <w:rFonts w:ascii="Times New Roman" w:hAnsi="Times New Roman" w:cs="Times New Roman"/>
                <w:color w:val="000000" w:themeColor="text1"/>
                <w:sz w:val="20"/>
                <w:szCs w:val="20"/>
              </w:rPr>
              <w:t>Current smoking</w:t>
            </w:r>
          </w:p>
        </w:tc>
        <w:tc>
          <w:tcPr>
            <w:tcW w:w="1480" w:type="dxa"/>
            <w:vAlign w:val="center"/>
            <w:hideMark/>
          </w:tcPr>
          <w:p w:rsidR="005D723A" w:rsidRPr="00BC5E5A" w:rsidRDefault="005D723A" w:rsidP="00266D66">
            <w:pPr>
              <w:spacing w:after="0" w:line="240" w:lineRule="auto"/>
              <w:jc w:val="both"/>
              <w:rPr>
                <w:rFonts w:ascii="Times New Roman" w:hAnsi="Times New Roman" w:cs="Times New Roman"/>
                <w:color w:val="000000" w:themeColor="text1"/>
                <w:sz w:val="20"/>
                <w:szCs w:val="20"/>
              </w:rPr>
            </w:pPr>
            <w:r w:rsidRPr="00BC5E5A">
              <w:rPr>
                <w:rFonts w:ascii="Times New Roman" w:hAnsi="Times New Roman" w:cs="Times New Roman"/>
                <w:color w:val="000000" w:themeColor="text1"/>
                <w:sz w:val="20"/>
                <w:szCs w:val="20"/>
              </w:rPr>
              <w:t>61 (</w:t>
            </w:r>
            <w:proofErr w:type="gramStart"/>
            <w:r w:rsidRPr="00BC5E5A">
              <w:rPr>
                <w:rFonts w:ascii="Times New Roman" w:hAnsi="Times New Roman" w:cs="Times New Roman"/>
                <w:color w:val="000000" w:themeColor="text1"/>
                <w:sz w:val="20"/>
                <w:szCs w:val="20"/>
              </w:rPr>
              <w:t>43.6</w:t>
            </w:r>
            <w:proofErr w:type="gramEnd"/>
            <w:r w:rsidRPr="00BC5E5A">
              <w:rPr>
                <w:rFonts w:ascii="Times New Roman" w:hAnsi="Times New Roman" w:cs="Times New Roman"/>
                <w:color w:val="000000" w:themeColor="text1"/>
                <w:sz w:val="20"/>
                <w:szCs w:val="20"/>
              </w:rPr>
              <w:t>%)</w:t>
            </w:r>
          </w:p>
        </w:tc>
        <w:tc>
          <w:tcPr>
            <w:tcW w:w="1671" w:type="dxa"/>
            <w:hideMark/>
          </w:tcPr>
          <w:tbl>
            <w:tblPr>
              <w:tblW w:w="0" w:type="auto"/>
              <w:tblCellSpacing w:w="15" w:type="dxa"/>
              <w:tblCellMar>
                <w:top w:w="15" w:type="dxa"/>
                <w:left w:w="15" w:type="dxa"/>
                <w:bottom w:w="15" w:type="dxa"/>
                <w:right w:w="15" w:type="dxa"/>
              </w:tblCellMar>
              <w:tblLook w:val="04A0"/>
            </w:tblPr>
            <w:tblGrid>
              <w:gridCol w:w="1290"/>
            </w:tblGrid>
            <w:tr w:rsidR="005D723A" w:rsidRPr="00BC5E5A" w:rsidTr="006E0F91">
              <w:trPr>
                <w:tblCellSpacing w:w="15" w:type="dxa"/>
              </w:trPr>
              <w:tc>
                <w:tcPr>
                  <w:tcW w:w="1230" w:type="dxa"/>
                  <w:vAlign w:val="center"/>
                  <w:hideMark/>
                </w:tcPr>
                <w:p w:rsidR="005D723A" w:rsidRPr="00BC5E5A" w:rsidRDefault="005D723A" w:rsidP="00266D66">
                  <w:pPr>
                    <w:spacing w:after="0" w:line="240" w:lineRule="auto"/>
                    <w:jc w:val="both"/>
                    <w:rPr>
                      <w:rFonts w:ascii="Times New Roman" w:hAnsi="Times New Roman" w:cs="Times New Roman"/>
                      <w:color w:val="000000" w:themeColor="text1"/>
                      <w:sz w:val="20"/>
                      <w:szCs w:val="20"/>
                    </w:rPr>
                  </w:pPr>
                  <w:r w:rsidRPr="00BC5E5A">
                    <w:rPr>
                      <w:rFonts w:ascii="Times New Roman" w:hAnsi="Times New Roman" w:cs="Times New Roman"/>
                      <w:color w:val="000000" w:themeColor="text1"/>
                      <w:sz w:val="20"/>
                      <w:szCs w:val="20"/>
                    </w:rPr>
                    <w:t>103 (</w:t>
                  </w:r>
                  <w:proofErr w:type="gramStart"/>
                  <w:r w:rsidRPr="00BC5E5A">
                    <w:rPr>
                      <w:rFonts w:ascii="Times New Roman" w:hAnsi="Times New Roman" w:cs="Times New Roman"/>
                      <w:color w:val="000000" w:themeColor="text1"/>
                      <w:sz w:val="20"/>
                      <w:szCs w:val="20"/>
                    </w:rPr>
                    <w:t>42.0</w:t>
                  </w:r>
                  <w:proofErr w:type="gramEnd"/>
                  <w:r w:rsidRPr="00BC5E5A">
                    <w:rPr>
                      <w:rFonts w:ascii="Times New Roman" w:hAnsi="Times New Roman" w:cs="Times New Roman"/>
                      <w:color w:val="000000" w:themeColor="text1"/>
                      <w:sz w:val="20"/>
                      <w:szCs w:val="20"/>
                    </w:rPr>
                    <w:t>%)</w:t>
                  </w:r>
                </w:p>
              </w:tc>
            </w:tr>
          </w:tbl>
          <w:p w:rsidR="005D723A" w:rsidRPr="00BC5E5A" w:rsidRDefault="005D723A" w:rsidP="00266D66">
            <w:pPr>
              <w:spacing w:after="0" w:line="240" w:lineRule="auto"/>
              <w:jc w:val="both"/>
              <w:rPr>
                <w:rFonts w:ascii="Times New Roman" w:hAnsi="Times New Roman" w:cs="Times New Roman"/>
                <w:color w:val="000000" w:themeColor="text1"/>
                <w:sz w:val="20"/>
                <w:szCs w:val="20"/>
              </w:rPr>
            </w:pPr>
          </w:p>
        </w:tc>
        <w:tc>
          <w:tcPr>
            <w:tcW w:w="967"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hAnsi="Times New Roman" w:cs="Times New Roman"/>
                <w:color w:val="000000" w:themeColor="text1"/>
                <w:sz w:val="20"/>
                <w:szCs w:val="20"/>
              </w:rPr>
              <w:t>0.016</w:t>
            </w:r>
          </w:p>
        </w:tc>
        <w:tc>
          <w:tcPr>
            <w:tcW w:w="562"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hAnsi="Times New Roman" w:cs="Times New Roman"/>
                <w:color w:val="000000" w:themeColor="text1"/>
                <w:sz w:val="20"/>
                <w:szCs w:val="20"/>
              </w:rPr>
              <w:t>0.30</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hAnsi="Times New Roman" w:cs="Times New Roman"/>
                <w:color w:val="000000" w:themeColor="text1"/>
                <w:sz w:val="20"/>
                <w:szCs w:val="20"/>
              </w:rPr>
              <w:t>0.76</w:t>
            </w:r>
          </w:p>
        </w:tc>
        <w:tc>
          <w:tcPr>
            <w:tcW w:w="735" w:type="dxa"/>
            <w:vAlign w:val="center"/>
            <w:hideMark/>
          </w:tcPr>
          <w:p w:rsidR="005D723A" w:rsidRPr="00BC5E5A" w:rsidRDefault="005D723A" w:rsidP="00266D66">
            <w:pPr>
              <w:spacing w:after="0" w:line="240" w:lineRule="auto"/>
              <w:jc w:val="both"/>
              <w:rPr>
                <w:rFonts w:ascii="Times New Roman" w:hAnsi="Times New Roman" w:cs="Times New Roman"/>
                <w:color w:val="000000" w:themeColor="text1"/>
                <w:sz w:val="20"/>
                <w:szCs w:val="20"/>
              </w:rPr>
            </w:pPr>
            <w:r w:rsidRPr="00BC5E5A">
              <w:rPr>
                <w:rFonts w:ascii="Times New Roman" w:hAnsi="Times New Roman" w:cs="Times New Roman"/>
                <w:color w:val="000000" w:themeColor="text1"/>
                <w:sz w:val="20"/>
                <w:szCs w:val="20"/>
              </w:rPr>
              <w:t>0.03</w:t>
            </w:r>
          </w:p>
        </w:tc>
        <w:tc>
          <w:tcPr>
            <w:tcW w:w="1275"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hAnsi="Times New Roman" w:cs="Times New Roman"/>
                <w:color w:val="000000" w:themeColor="text1"/>
                <w:sz w:val="20"/>
                <w:szCs w:val="20"/>
              </w:rPr>
              <w:t>−0.09 – 0.12</w:t>
            </w:r>
          </w:p>
        </w:tc>
      </w:tr>
      <w:tr w:rsidR="005D723A" w:rsidRPr="00BC5E5A" w:rsidTr="006E0F91">
        <w:trPr>
          <w:tblCellSpacing w:w="15" w:type="dxa"/>
        </w:trPr>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24h DBP</w:t>
            </w:r>
          </w:p>
        </w:tc>
        <w:tc>
          <w:tcPr>
            <w:tcW w:w="1480"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 xml:space="preserve">79.8 ± </w:t>
            </w:r>
            <w:proofErr w:type="gramStart"/>
            <w:r w:rsidRPr="00BC5E5A">
              <w:rPr>
                <w:rFonts w:ascii="Times New Roman" w:eastAsia="Times New Roman" w:hAnsi="Times New Roman" w:cs="Times New Roman"/>
                <w:color w:val="000000" w:themeColor="text1"/>
                <w:sz w:val="20"/>
                <w:szCs w:val="20"/>
                <w:lang w:eastAsia="tr-TR"/>
              </w:rPr>
              <w:t>6.9</w:t>
            </w:r>
            <w:proofErr w:type="gramEnd"/>
          </w:p>
        </w:tc>
        <w:tc>
          <w:tcPr>
            <w:tcW w:w="1671"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 xml:space="preserve">76.1 ± </w:t>
            </w:r>
            <w:proofErr w:type="gramStart"/>
            <w:r w:rsidRPr="00BC5E5A">
              <w:rPr>
                <w:rFonts w:ascii="Times New Roman" w:eastAsia="Times New Roman" w:hAnsi="Times New Roman" w:cs="Times New Roman"/>
                <w:color w:val="000000" w:themeColor="text1"/>
                <w:sz w:val="20"/>
                <w:szCs w:val="20"/>
                <w:lang w:eastAsia="tr-TR"/>
              </w:rPr>
              <w:t>6.6</w:t>
            </w:r>
            <w:proofErr w:type="gramEnd"/>
          </w:p>
        </w:tc>
        <w:tc>
          <w:tcPr>
            <w:tcW w:w="967"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-3.70</w:t>
            </w:r>
          </w:p>
        </w:tc>
        <w:tc>
          <w:tcPr>
            <w:tcW w:w="562"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-5.07</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-0.55</w:t>
            </w:r>
          </w:p>
        </w:tc>
        <w:tc>
          <w:tcPr>
            <w:tcW w:w="1275"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-5.14–-2.26</w:t>
            </w:r>
          </w:p>
        </w:tc>
      </w:tr>
      <w:tr w:rsidR="005D723A" w:rsidRPr="00BC5E5A" w:rsidTr="006E0F91">
        <w:trPr>
          <w:tblCellSpacing w:w="15" w:type="dxa"/>
        </w:trPr>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Day SBP</w:t>
            </w:r>
          </w:p>
        </w:tc>
        <w:tc>
          <w:tcPr>
            <w:tcW w:w="1480"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 xml:space="preserve">133.7 ± </w:t>
            </w:r>
            <w:proofErr w:type="gramStart"/>
            <w:r w:rsidRPr="00BC5E5A">
              <w:rPr>
                <w:rFonts w:ascii="Times New Roman" w:eastAsia="Times New Roman" w:hAnsi="Times New Roman" w:cs="Times New Roman"/>
                <w:color w:val="000000" w:themeColor="text1"/>
                <w:sz w:val="20"/>
                <w:szCs w:val="20"/>
                <w:lang w:eastAsia="tr-TR"/>
              </w:rPr>
              <w:t>11.6</w:t>
            </w:r>
            <w:proofErr w:type="gramEnd"/>
          </w:p>
        </w:tc>
        <w:tc>
          <w:tcPr>
            <w:tcW w:w="1671"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 xml:space="preserve">128.4 ± </w:t>
            </w:r>
            <w:proofErr w:type="gramStart"/>
            <w:r w:rsidRPr="00BC5E5A">
              <w:rPr>
                <w:rFonts w:ascii="Times New Roman" w:eastAsia="Times New Roman" w:hAnsi="Times New Roman" w:cs="Times New Roman"/>
                <w:color w:val="000000" w:themeColor="text1"/>
                <w:sz w:val="20"/>
                <w:szCs w:val="20"/>
                <w:lang w:eastAsia="tr-TR"/>
              </w:rPr>
              <w:t>10.3</w:t>
            </w:r>
            <w:proofErr w:type="gramEnd"/>
          </w:p>
        </w:tc>
        <w:tc>
          <w:tcPr>
            <w:tcW w:w="967"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-5.30</w:t>
            </w:r>
          </w:p>
        </w:tc>
        <w:tc>
          <w:tcPr>
            <w:tcW w:w="562"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-4.46</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-0.50</w:t>
            </w:r>
          </w:p>
        </w:tc>
        <w:tc>
          <w:tcPr>
            <w:tcW w:w="1275" w:type="dxa"/>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-7.64–-2.96</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Day DBP</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84.2 ± </w:t>
            </w:r>
            <w:proofErr w:type="gramStart"/>
            <w:r w:rsidRPr="006E0F91">
              <w:rPr>
                <w:rFonts w:ascii="Times New Roman" w:eastAsia="Times New Roman" w:hAnsi="Times New Roman" w:cs="Times New Roman"/>
                <w:color w:val="000000" w:themeColor="text1"/>
                <w:sz w:val="20"/>
                <w:szCs w:val="20"/>
                <w:lang w:eastAsia="tr-TR"/>
              </w:rPr>
              <w:t>7.8</w:t>
            </w:r>
            <w:proofErr w:type="gramEnd"/>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79.9 ± </w:t>
            </w:r>
            <w:proofErr w:type="gramStart"/>
            <w:r w:rsidRPr="006E0F91">
              <w:rPr>
                <w:rFonts w:ascii="Times New Roman" w:eastAsia="Times New Roman" w:hAnsi="Times New Roman" w:cs="Times New Roman"/>
                <w:color w:val="000000" w:themeColor="text1"/>
                <w:sz w:val="20"/>
                <w:szCs w:val="20"/>
                <w:lang w:eastAsia="tr-TR"/>
              </w:rPr>
              <w:t>7.3</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-4.30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-5.07</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-0.58</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-5.98–-2.62</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Night SBP</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115.9 ± </w:t>
            </w:r>
            <w:proofErr w:type="gramStart"/>
            <w:r w:rsidRPr="006E0F91">
              <w:rPr>
                <w:rFonts w:ascii="Times New Roman" w:eastAsia="Times New Roman" w:hAnsi="Times New Roman" w:cs="Times New Roman"/>
                <w:color w:val="000000" w:themeColor="text1"/>
                <w:sz w:val="20"/>
                <w:szCs w:val="20"/>
                <w:lang w:eastAsia="tr-TR"/>
              </w:rPr>
              <w:t>9.4</w:t>
            </w:r>
            <w:proofErr w:type="gramEnd"/>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113.5 ± </w:t>
            </w:r>
            <w:proofErr w:type="gramStart"/>
            <w:r w:rsidRPr="006E0F91">
              <w:rPr>
                <w:rFonts w:ascii="Times New Roman" w:eastAsia="Times New Roman" w:hAnsi="Times New Roman" w:cs="Times New Roman"/>
                <w:color w:val="000000" w:themeColor="text1"/>
                <w:sz w:val="20"/>
                <w:szCs w:val="20"/>
                <w:lang w:eastAsia="tr-TR"/>
              </w:rPr>
              <w:t>8.9</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-2.40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-2.37</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0.018</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-0.26</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-4.39–-0.41</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lastRenderedPageBreak/>
              <w:t>Night DBP</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71.2 ± </w:t>
            </w:r>
            <w:proofErr w:type="gramStart"/>
            <w:r w:rsidRPr="006E0F91">
              <w:rPr>
                <w:rFonts w:ascii="Times New Roman" w:eastAsia="Times New Roman" w:hAnsi="Times New Roman" w:cs="Times New Roman"/>
                <w:color w:val="000000" w:themeColor="text1"/>
                <w:sz w:val="20"/>
                <w:szCs w:val="20"/>
                <w:lang w:eastAsia="tr-TR"/>
              </w:rPr>
              <w:t>6.6</w:t>
            </w:r>
            <w:proofErr w:type="gramEnd"/>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65.9 ± </w:t>
            </w:r>
            <w:proofErr w:type="gramStart"/>
            <w:r w:rsidRPr="006E0F91">
              <w:rPr>
                <w:rFonts w:ascii="Times New Roman" w:eastAsia="Times New Roman" w:hAnsi="Times New Roman" w:cs="Times New Roman"/>
                <w:color w:val="000000" w:themeColor="text1"/>
                <w:sz w:val="20"/>
                <w:szCs w:val="20"/>
                <w:lang w:eastAsia="tr-TR"/>
              </w:rPr>
              <w:t>5.6</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-5.30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-7.64</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-0.86</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-6.67–-3.93</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Nocturnal dipping (%)</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9.1 ± </w:t>
            </w:r>
            <w:proofErr w:type="gramStart"/>
            <w:r w:rsidRPr="006E0F91">
              <w:rPr>
                <w:rFonts w:ascii="Times New Roman" w:eastAsia="Times New Roman" w:hAnsi="Times New Roman" w:cs="Times New Roman"/>
                <w:color w:val="000000" w:themeColor="text1"/>
                <w:sz w:val="20"/>
                <w:szCs w:val="20"/>
                <w:lang w:eastAsia="tr-TR"/>
              </w:rPr>
              <w:t>5.0</w:t>
            </w:r>
            <w:proofErr w:type="gramEnd"/>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11.8 ± </w:t>
            </w:r>
            <w:proofErr w:type="gramStart"/>
            <w:r w:rsidRPr="006E0F91">
              <w:rPr>
                <w:rFonts w:ascii="Times New Roman" w:eastAsia="Times New Roman" w:hAnsi="Times New Roman" w:cs="Times New Roman"/>
                <w:color w:val="000000" w:themeColor="text1"/>
                <w:sz w:val="20"/>
                <w:szCs w:val="20"/>
                <w:lang w:eastAsia="tr-TR"/>
              </w:rPr>
              <w:t>5.1</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2.70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4.83</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0.53</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1.60–3.80</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DBP load (%)</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35 ± 17</w:t>
            </w:r>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22 ± 14</w:t>
            </w:r>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-13.00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-7.48</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-0.82</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-16.41–-9.59</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DBP ARV</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8.7 ± </w:t>
            </w:r>
            <w:proofErr w:type="gramStart"/>
            <w:r w:rsidRPr="006E0F91">
              <w:rPr>
                <w:rFonts w:ascii="Times New Roman" w:eastAsia="Times New Roman" w:hAnsi="Times New Roman" w:cs="Times New Roman"/>
                <w:color w:val="000000" w:themeColor="text1"/>
                <w:sz w:val="20"/>
                <w:szCs w:val="20"/>
                <w:lang w:eastAsia="tr-TR"/>
              </w:rPr>
              <w:t>2.3</w:t>
            </w:r>
            <w:proofErr w:type="gramEnd"/>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7.0 ± </w:t>
            </w:r>
            <w:proofErr w:type="gramStart"/>
            <w:r w:rsidRPr="006E0F91">
              <w:rPr>
                <w:rFonts w:ascii="Times New Roman" w:eastAsia="Times New Roman" w:hAnsi="Times New Roman" w:cs="Times New Roman"/>
                <w:color w:val="000000" w:themeColor="text1"/>
                <w:sz w:val="20"/>
                <w:szCs w:val="20"/>
                <w:lang w:eastAsia="tr-TR"/>
              </w:rPr>
              <w:t>1.7</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-1.70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-7.43</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-0.86</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-2.14–-1.26</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DMS</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15.4 ± </w:t>
            </w:r>
            <w:proofErr w:type="gramStart"/>
            <w:r w:rsidRPr="006E0F91">
              <w:rPr>
                <w:rFonts w:ascii="Times New Roman" w:eastAsia="Times New Roman" w:hAnsi="Times New Roman" w:cs="Times New Roman"/>
                <w:color w:val="000000" w:themeColor="text1"/>
                <w:sz w:val="20"/>
                <w:szCs w:val="20"/>
                <w:lang w:eastAsia="tr-TR"/>
              </w:rPr>
              <w:t>6.5</w:t>
            </w:r>
            <w:proofErr w:type="gramEnd"/>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9.9 ± </w:t>
            </w:r>
            <w:proofErr w:type="gramStart"/>
            <w:r w:rsidRPr="006E0F91">
              <w:rPr>
                <w:rFonts w:ascii="Times New Roman" w:eastAsia="Times New Roman" w:hAnsi="Times New Roman" w:cs="Times New Roman"/>
                <w:color w:val="000000" w:themeColor="text1"/>
                <w:sz w:val="20"/>
                <w:szCs w:val="20"/>
                <w:lang w:eastAsia="tr-TR"/>
              </w:rPr>
              <w:t>4.8</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-5.50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-9.05</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-0.94</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-6.69–-4.31</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SMS</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24.6 ± </w:t>
            </w:r>
            <w:proofErr w:type="gramStart"/>
            <w:r w:rsidRPr="006E0F91">
              <w:rPr>
                <w:rFonts w:ascii="Times New Roman" w:eastAsia="Times New Roman" w:hAnsi="Times New Roman" w:cs="Times New Roman"/>
                <w:color w:val="000000" w:themeColor="text1"/>
                <w:sz w:val="20"/>
                <w:szCs w:val="20"/>
                <w:lang w:eastAsia="tr-TR"/>
              </w:rPr>
              <w:t>9.0</w:t>
            </w:r>
            <w:proofErr w:type="gramEnd"/>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18.1 ± </w:t>
            </w:r>
            <w:proofErr w:type="gramStart"/>
            <w:r w:rsidRPr="006E0F91">
              <w:rPr>
                <w:rFonts w:ascii="Times New Roman" w:eastAsia="Times New Roman" w:hAnsi="Times New Roman" w:cs="Times New Roman"/>
                <w:color w:val="000000" w:themeColor="text1"/>
                <w:sz w:val="20"/>
                <w:szCs w:val="20"/>
                <w:lang w:eastAsia="tr-TR"/>
              </w:rPr>
              <w:t>7.8</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-6.50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-7.09</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-0.78</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-8.30–-4.70</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E velocity</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70.4 ± </w:t>
            </w:r>
            <w:proofErr w:type="gramStart"/>
            <w:r w:rsidRPr="006E0F91">
              <w:rPr>
                <w:rFonts w:ascii="Times New Roman" w:eastAsia="Times New Roman" w:hAnsi="Times New Roman" w:cs="Times New Roman"/>
                <w:color w:val="000000" w:themeColor="text1"/>
                <w:sz w:val="20"/>
                <w:szCs w:val="20"/>
                <w:lang w:eastAsia="tr-TR"/>
              </w:rPr>
              <w:t>14.6</w:t>
            </w:r>
            <w:proofErr w:type="gramEnd"/>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74.9 ± </w:t>
            </w:r>
            <w:proofErr w:type="gramStart"/>
            <w:r w:rsidRPr="006E0F91">
              <w:rPr>
                <w:rFonts w:ascii="Times New Roman" w:eastAsia="Times New Roman" w:hAnsi="Times New Roman" w:cs="Times New Roman"/>
                <w:color w:val="000000" w:themeColor="text1"/>
                <w:sz w:val="20"/>
                <w:szCs w:val="20"/>
                <w:lang w:eastAsia="tr-TR"/>
              </w:rPr>
              <w:t>12.4</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4.50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3.02</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0.003</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0.33</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1.57–7.43</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A velocity</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73.8 ± </w:t>
            </w:r>
            <w:proofErr w:type="gramStart"/>
            <w:r w:rsidRPr="006E0F91">
              <w:rPr>
                <w:rFonts w:ascii="Times New Roman" w:eastAsia="Times New Roman" w:hAnsi="Times New Roman" w:cs="Times New Roman"/>
                <w:color w:val="000000" w:themeColor="text1"/>
                <w:sz w:val="20"/>
                <w:szCs w:val="20"/>
                <w:lang w:eastAsia="tr-TR"/>
              </w:rPr>
              <w:t>15.4</w:t>
            </w:r>
            <w:proofErr w:type="gramEnd"/>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63.2 ± </w:t>
            </w:r>
            <w:proofErr w:type="gramStart"/>
            <w:r w:rsidRPr="006E0F91">
              <w:rPr>
                <w:rFonts w:ascii="Times New Roman" w:eastAsia="Times New Roman" w:hAnsi="Times New Roman" w:cs="Times New Roman"/>
                <w:color w:val="000000" w:themeColor="text1"/>
                <w:sz w:val="20"/>
                <w:szCs w:val="20"/>
                <w:lang w:eastAsia="tr-TR"/>
              </w:rPr>
              <w:t>12.3</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-10.60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-7.12</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-0.74</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-13.52–-7.68</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E/A ratio</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0.97 ± 0.27</w:t>
            </w:r>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1.10 ± 0.31</w:t>
            </w:r>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0.13</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4.30</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0.45</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0.07–0.19</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Deceleration time</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215 ± 43</w:t>
            </w:r>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184 ± 35</w:t>
            </w:r>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-31.00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-7.41</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-0.77</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-39.24–-22.76</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Septal e′</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6.8 ± </w:t>
            </w:r>
            <w:proofErr w:type="gramStart"/>
            <w:r w:rsidRPr="006E0F91">
              <w:rPr>
                <w:rFonts w:ascii="Times New Roman" w:eastAsia="Times New Roman" w:hAnsi="Times New Roman" w:cs="Times New Roman"/>
                <w:color w:val="000000" w:themeColor="text1"/>
                <w:sz w:val="20"/>
                <w:szCs w:val="20"/>
                <w:lang w:eastAsia="tr-TR"/>
              </w:rPr>
              <w:t>1.3</w:t>
            </w:r>
            <w:proofErr w:type="gramEnd"/>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8.1 ± </w:t>
            </w:r>
            <w:proofErr w:type="gramStart"/>
            <w:r w:rsidRPr="006E0F91">
              <w:rPr>
                <w:rFonts w:ascii="Times New Roman" w:eastAsia="Times New Roman" w:hAnsi="Times New Roman" w:cs="Times New Roman"/>
                <w:color w:val="000000" w:themeColor="text1"/>
                <w:sz w:val="20"/>
                <w:szCs w:val="20"/>
                <w:lang w:eastAsia="tr-TR"/>
              </w:rPr>
              <w:t>1.4</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1.30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8.93</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0.96</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1.01–1.59</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Lateral e′</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8.9 ± </w:t>
            </w:r>
            <w:proofErr w:type="gramStart"/>
            <w:r w:rsidRPr="006E0F91">
              <w:rPr>
                <w:rFonts w:ascii="Times New Roman" w:eastAsia="Times New Roman" w:hAnsi="Times New Roman" w:cs="Times New Roman"/>
                <w:color w:val="000000" w:themeColor="text1"/>
                <w:sz w:val="20"/>
                <w:szCs w:val="20"/>
                <w:lang w:eastAsia="tr-TR"/>
              </w:rPr>
              <w:t>1.8</w:t>
            </w:r>
            <w:proofErr w:type="gramEnd"/>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10.9 ± </w:t>
            </w:r>
            <w:proofErr w:type="gramStart"/>
            <w:r w:rsidRPr="006E0F91">
              <w:rPr>
                <w:rFonts w:ascii="Times New Roman" w:eastAsia="Times New Roman" w:hAnsi="Times New Roman" w:cs="Times New Roman"/>
                <w:color w:val="000000" w:themeColor="text1"/>
                <w:sz w:val="20"/>
                <w:szCs w:val="20"/>
                <w:lang w:eastAsia="tr-TR"/>
              </w:rPr>
              <w:t>2.1</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2.00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9.73</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1.05</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1.60–2.40</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Avg E/e′</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11.1 ± </w:t>
            </w:r>
            <w:proofErr w:type="gramStart"/>
            <w:r w:rsidRPr="006E0F91">
              <w:rPr>
                <w:rFonts w:ascii="Times New Roman" w:eastAsia="Times New Roman" w:hAnsi="Times New Roman" w:cs="Times New Roman"/>
                <w:color w:val="000000" w:themeColor="text1"/>
                <w:sz w:val="20"/>
                <w:szCs w:val="20"/>
                <w:lang w:eastAsia="tr-TR"/>
              </w:rPr>
              <w:t>2.3</w:t>
            </w:r>
            <w:proofErr w:type="gramEnd"/>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8.8 ± </w:t>
            </w:r>
            <w:proofErr w:type="gramStart"/>
            <w:r w:rsidRPr="006E0F91">
              <w:rPr>
                <w:rFonts w:ascii="Times New Roman" w:eastAsia="Times New Roman" w:hAnsi="Times New Roman" w:cs="Times New Roman"/>
                <w:color w:val="000000" w:themeColor="text1"/>
                <w:sz w:val="20"/>
                <w:szCs w:val="20"/>
                <w:lang w:eastAsia="tr-TR"/>
              </w:rPr>
              <w:t>2.0</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-2.30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-9.89</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-1.05</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-2.76–-1.84</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LAVI</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33.9 ± </w:t>
            </w:r>
            <w:proofErr w:type="gramStart"/>
            <w:r w:rsidRPr="006E0F91">
              <w:rPr>
                <w:rFonts w:ascii="Times New Roman" w:eastAsia="Times New Roman" w:hAnsi="Times New Roman" w:cs="Times New Roman"/>
                <w:color w:val="000000" w:themeColor="text1"/>
                <w:sz w:val="20"/>
                <w:szCs w:val="20"/>
                <w:lang w:eastAsia="tr-TR"/>
              </w:rPr>
              <w:t>7.1</w:t>
            </w:r>
            <w:proofErr w:type="gramEnd"/>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28.1 ± </w:t>
            </w:r>
            <w:proofErr w:type="gramStart"/>
            <w:r w:rsidRPr="006E0F91">
              <w:rPr>
                <w:rFonts w:ascii="Times New Roman" w:eastAsia="Times New Roman" w:hAnsi="Times New Roman" w:cs="Times New Roman"/>
                <w:color w:val="000000" w:themeColor="text1"/>
                <w:sz w:val="20"/>
                <w:szCs w:val="20"/>
                <w:lang w:eastAsia="tr-TR"/>
              </w:rPr>
              <w:t>5.9</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-5.80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-8.13</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-0.88</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-7.18–-4.42</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TR velocity</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2.65 ± 0.27</w:t>
            </w:r>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2.56 ± 0.29</w:t>
            </w:r>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-0.09</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-3.05</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0.002</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-0.32</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-0.15–-0.03</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LVMI</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93.7 ± </w:t>
            </w:r>
            <w:proofErr w:type="gramStart"/>
            <w:r w:rsidRPr="006E0F91">
              <w:rPr>
                <w:rFonts w:ascii="Times New Roman" w:eastAsia="Times New Roman" w:hAnsi="Times New Roman" w:cs="Times New Roman"/>
                <w:color w:val="000000" w:themeColor="text1"/>
                <w:sz w:val="20"/>
                <w:szCs w:val="20"/>
                <w:lang w:eastAsia="tr-TR"/>
              </w:rPr>
              <w:t>17.2</w:t>
            </w:r>
            <w:proofErr w:type="gramEnd"/>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87.2 ± </w:t>
            </w:r>
            <w:proofErr w:type="gramStart"/>
            <w:r w:rsidRPr="006E0F91">
              <w:rPr>
                <w:rFonts w:ascii="Times New Roman" w:eastAsia="Times New Roman" w:hAnsi="Times New Roman" w:cs="Times New Roman"/>
                <w:color w:val="000000" w:themeColor="text1"/>
                <w:sz w:val="20"/>
                <w:szCs w:val="20"/>
                <w:lang w:eastAsia="tr-TR"/>
              </w:rPr>
              <w:t>15.9</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-6.50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-3.80</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-0.40</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-9.84–-3.16</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RWT</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0.41 ± 0.06</w:t>
            </w:r>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0.39 ± 0.06</w:t>
            </w:r>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-0.02</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-3.18</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0.002</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-0.32</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-0.03–-0.01</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LVEF</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61.3 ± </w:t>
            </w:r>
            <w:proofErr w:type="gramStart"/>
            <w:r w:rsidRPr="006E0F91">
              <w:rPr>
                <w:rFonts w:ascii="Times New Roman" w:eastAsia="Times New Roman" w:hAnsi="Times New Roman" w:cs="Times New Roman"/>
                <w:color w:val="000000" w:themeColor="text1"/>
                <w:sz w:val="20"/>
                <w:szCs w:val="20"/>
                <w:lang w:eastAsia="tr-TR"/>
              </w:rPr>
              <w:t>5.0</w:t>
            </w:r>
            <w:proofErr w:type="gramEnd"/>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61.9 ± </w:t>
            </w:r>
            <w:proofErr w:type="gramStart"/>
            <w:r w:rsidRPr="006E0F91">
              <w:rPr>
                <w:rFonts w:ascii="Times New Roman" w:eastAsia="Times New Roman" w:hAnsi="Times New Roman" w:cs="Times New Roman"/>
                <w:color w:val="000000" w:themeColor="text1"/>
                <w:sz w:val="20"/>
                <w:szCs w:val="20"/>
                <w:lang w:eastAsia="tr-TR"/>
              </w:rPr>
              <w:t>4.9</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0.60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1.13</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0.260</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0.12</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-0.47–1.67</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Tp-e</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92.5 ± </w:t>
            </w:r>
            <w:proofErr w:type="gramStart"/>
            <w:r w:rsidRPr="006E0F91">
              <w:rPr>
                <w:rFonts w:ascii="Times New Roman" w:eastAsia="Times New Roman" w:hAnsi="Times New Roman" w:cs="Times New Roman"/>
                <w:color w:val="000000" w:themeColor="text1"/>
                <w:sz w:val="20"/>
                <w:szCs w:val="20"/>
                <w:lang w:eastAsia="tr-TR"/>
              </w:rPr>
              <w:t>12.9</w:t>
            </w:r>
            <w:proofErr w:type="gramEnd"/>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83.3 ± </w:t>
            </w:r>
            <w:proofErr w:type="gramStart"/>
            <w:r w:rsidRPr="006E0F91">
              <w:rPr>
                <w:rFonts w:ascii="Times New Roman" w:eastAsia="Times New Roman" w:hAnsi="Times New Roman" w:cs="Times New Roman"/>
                <w:color w:val="000000" w:themeColor="text1"/>
                <w:sz w:val="20"/>
                <w:szCs w:val="20"/>
                <w:lang w:eastAsia="tr-TR"/>
              </w:rPr>
              <w:t>9.9</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-9.20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-8.27</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-0.80</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-11.37–-7.03</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QTc</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416 ± 20</w:t>
            </w:r>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413 ± 19</w:t>
            </w:r>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-3.00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-1.45</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0.148</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-0.15</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-7.05–1.05</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Tp-e/QTc</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0.224 ± 0.027</w:t>
            </w:r>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0.193 ± 0.021</w:t>
            </w:r>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-0.031</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-11.1</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-1.24</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-0.036–-0.026</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QT dispersion</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40.9 ± </w:t>
            </w:r>
            <w:proofErr w:type="gramStart"/>
            <w:r w:rsidRPr="006E0F91">
              <w:rPr>
                <w:rFonts w:ascii="Times New Roman" w:eastAsia="Times New Roman" w:hAnsi="Times New Roman" w:cs="Times New Roman"/>
                <w:color w:val="000000" w:themeColor="text1"/>
                <w:sz w:val="20"/>
                <w:szCs w:val="20"/>
                <w:lang w:eastAsia="tr-TR"/>
              </w:rPr>
              <w:t>12.4</w:t>
            </w:r>
            <w:proofErr w:type="gramEnd"/>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32.9 ± </w:t>
            </w:r>
            <w:proofErr w:type="gramStart"/>
            <w:r w:rsidRPr="006E0F91">
              <w:rPr>
                <w:rFonts w:ascii="Times New Roman" w:eastAsia="Times New Roman" w:hAnsi="Times New Roman" w:cs="Times New Roman"/>
                <w:color w:val="000000" w:themeColor="text1"/>
                <w:sz w:val="20"/>
                <w:szCs w:val="20"/>
                <w:lang w:eastAsia="tr-TR"/>
              </w:rPr>
              <w:t>10.7</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-8.00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-6.66</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-0.73</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-10.37–-5.63</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Neutrophils</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4.9 ± </w:t>
            </w:r>
            <w:proofErr w:type="gramStart"/>
            <w:r w:rsidRPr="006E0F91">
              <w:rPr>
                <w:rFonts w:ascii="Times New Roman" w:eastAsia="Times New Roman" w:hAnsi="Times New Roman" w:cs="Times New Roman"/>
                <w:color w:val="000000" w:themeColor="text1"/>
                <w:sz w:val="20"/>
                <w:szCs w:val="20"/>
                <w:lang w:eastAsia="tr-TR"/>
              </w:rPr>
              <w:t>1.3</w:t>
            </w:r>
            <w:proofErr w:type="gramEnd"/>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4.2 ± </w:t>
            </w:r>
            <w:proofErr w:type="gramStart"/>
            <w:r w:rsidRPr="006E0F91">
              <w:rPr>
                <w:rFonts w:ascii="Times New Roman" w:eastAsia="Times New Roman" w:hAnsi="Times New Roman" w:cs="Times New Roman"/>
                <w:color w:val="000000" w:themeColor="text1"/>
                <w:sz w:val="20"/>
                <w:szCs w:val="20"/>
                <w:lang w:eastAsia="tr-TR"/>
              </w:rPr>
              <w:t>1.2</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-0.70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-5.18</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-0.57</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-0.96–-0.44</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Lymphocytes</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2.0 ± </w:t>
            </w:r>
            <w:proofErr w:type="gramStart"/>
            <w:r w:rsidRPr="006E0F91">
              <w:rPr>
                <w:rFonts w:ascii="Times New Roman" w:eastAsia="Times New Roman" w:hAnsi="Times New Roman" w:cs="Times New Roman"/>
                <w:color w:val="000000" w:themeColor="text1"/>
                <w:sz w:val="20"/>
                <w:szCs w:val="20"/>
                <w:lang w:eastAsia="tr-TR"/>
              </w:rPr>
              <w:t>0.5</w:t>
            </w:r>
            <w:proofErr w:type="gramEnd"/>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1.9 ± </w:t>
            </w:r>
            <w:proofErr w:type="gramStart"/>
            <w:r w:rsidRPr="006E0F91">
              <w:rPr>
                <w:rFonts w:ascii="Times New Roman" w:eastAsia="Times New Roman" w:hAnsi="Times New Roman" w:cs="Times New Roman"/>
                <w:color w:val="000000" w:themeColor="text1"/>
                <w:sz w:val="20"/>
                <w:szCs w:val="20"/>
                <w:lang w:eastAsia="tr-TR"/>
              </w:rPr>
              <w:t>0.5</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-0.10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-1.93</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0.054</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-0.20</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-0.20–0.00</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b/>
                <w:bCs/>
                <w:color w:val="000000" w:themeColor="text1"/>
                <w:sz w:val="20"/>
                <w:szCs w:val="20"/>
                <w:lang w:eastAsia="tr-TR"/>
              </w:rPr>
              <w:t>NLR</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2.69 ± 0.94</w:t>
            </w:r>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1.99 ± 0.76</w:t>
            </w:r>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-0.70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-7.29</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-0.79</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-0.89–-0.51</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CRP</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median ↑</w:t>
            </w:r>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2.4 ± </w:t>
            </w:r>
            <w:proofErr w:type="gramStart"/>
            <w:r w:rsidRPr="006E0F91">
              <w:rPr>
                <w:rFonts w:ascii="Times New Roman" w:eastAsia="Times New Roman" w:hAnsi="Times New Roman" w:cs="Times New Roman"/>
                <w:color w:val="000000" w:themeColor="text1"/>
                <w:sz w:val="20"/>
                <w:szCs w:val="20"/>
                <w:lang w:eastAsia="tr-TR"/>
              </w:rPr>
              <w:t>0.6</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Creatinine</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0.94 ± 0.14</w:t>
            </w:r>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0.91 ± 0.13</w:t>
            </w:r>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-0.03</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-2.05</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0.041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-0.22</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-0.06–-0.001</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Glucose</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101 ± 16</w:t>
            </w:r>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96 ± 13</w:t>
            </w:r>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-5.00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-3.31</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-0.36</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-8.00–-2.00</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HbA1c</w:t>
            </w:r>
          </w:p>
        </w:tc>
        <w:tc>
          <w:tcPr>
            <w:tcW w:w="1480"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5.8 ± </w:t>
            </w:r>
            <w:proofErr w:type="gramStart"/>
            <w:r w:rsidRPr="006E0F91">
              <w:rPr>
                <w:rFonts w:ascii="Times New Roman" w:eastAsia="Times New Roman" w:hAnsi="Times New Roman" w:cs="Times New Roman"/>
                <w:color w:val="000000" w:themeColor="text1"/>
                <w:sz w:val="20"/>
                <w:szCs w:val="20"/>
                <w:lang w:eastAsia="tr-TR"/>
              </w:rPr>
              <w:t>0.6</w:t>
            </w:r>
            <w:proofErr w:type="gramEnd"/>
          </w:p>
        </w:tc>
        <w:tc>
          <w:tcPr>
            <w:tcW w:w="1671"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 xml:space="preserve">5.5 ± </w:t>
            </w:r>
            <w:proofErr w:type="gramStart"/>
            <w:r w:rsidRPr="006E0F91">
              <w:rPr>
                <w:rFonts w:ascii="Times New Roman" w:eastAsia="Times New Roman" w:hAnsi="Times New Roman" w:cs="Times New Roman"/>
                <w:color w:val="000000" w:themeColor="text1"/>
                <w:sz w:val="20"/>
                <w:szCs w:val="20"/>
                <w:lang w:eastAsia="tr-TR"/>
              </w:rPr>
              <w:t>0.5</w:t>
            </w:r>
            <w:proofErr w:type="gramEnd"/>
          </w:p>
        </w:tc>
        <w:tc>
          <w:tcPr>
            <w:tcW w:w="967"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-0.30</w:t>
            </w:r>
          </w:p>
        </w:tc>
        <w:tc>
          <w:tcPr>
            <w:tcW w:w="562"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-5.21</w:t>
            </w:r>
          </w:p>
        </w:tc>
        <w:tc>
          <w:tcPr>
            <w:tcW w:w="0" w:type="auto"/>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&lt;0.001</w:t>
            </w:r>
          </w:p>
        </w:tc>
        <w:tc>
          <w:tcPr>
            <w:tcW w:w="73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-0.58</w:t>
            </w:r>
          </w:p>
        </w:tc>
        <w:tc>
          <w:tcPr>
            <w:tcW w:w="1275" w:type="dxa"/>
            <w:vAlign w:val="center"/>
            <w:hideMark/>
          </w:tcPr>
          <w:p w:rsidR="005D723A" w:rsidRPr="006E0F91"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6E0F91">
              <w:rPr>
                <w:rFonts w:ascii="Times New Roman" w:eastAsia="Times New Roman" w:hAnsi="Times New Roman" w:cs="Times New Roman"/>
                <w:color w:val="000000" w:themeColor="text1"/>
                <w:sz w:val="20"/>
                <w:szCs w:val="20"/>
                <w:lang w:eastAsia="tr-TR"/>
              </w:rPr>
              <w:t>-0.41–-0.19</w:t>
            </w:r>
          </w:p>
        </w:tc>
      </w:tr>
    </w:tbl>
    <w:p w:rsidR="00BA6EC4" w:rsidRPr="00BA6EC4" w:rsidRDefault="00BA6EC4" w:rsidP="00266D66">
      <w:pPr>
        <w:pStyle w:val="NormalWeb"/>
        <w:jc w:val="both"/>
        <w:rPr>
          <w:color w:val="000000" w:themeColor="text1"/>
          <w:sz w:val="20"/>
          <w:szCs w:val="20"/>
        </w:rPr>
      </w:pPr>
      <w:proofErr w:type="gramStart"/>
      <w:r w:rsidRPr="00BA6EC4">
        <w:rPr>
          <w:rStyle w:val="Gl"/>
          <w:rFonts w:eastAsiaTheme="majorEastAsia"/>
          <w:color w:val="000000" w:themeColor="text1"/>
          <w:sz w:val="20"/>
          <w:szCs w:val="20"/>
        </w:rPr>
        <w:t>Abbreviations:</w:t>
      </w:r>
      <w:r w:rsidRPr="00BA6EC4">
        <w:rPr>
          <w:color w:val="000000" w:themeColor="text1"/>
          <w:sz w:val="20"/>
          <w:szCs w:val="20"/>
        </w:rPr>
        <w:br/>
        <w:t>ABPM, ambulatory blood pressure monitoring; ARV, average real variability; BMI, body mass index; CI, confidence interval; CRP, C-reactive protein; DBP, diastolic blood pressure; DMS, diastolic morning surge; E/A, ratio of early to late transmitral flow velocities; E/e′, ratio of transmitral E velocity to mitral annular e′ velocity; HbA1c, glycated hemoglobin; LAVI, left atrial volume index; LVDD, left ventricular diastolic dysfunction; LVEF, left ventricular ejection fraction; LVMI, left ventricular mass index; NLR, neutrophil-to-lymphocyte ratio; QTc, corrected QT interval; RWT, relative wall thickness; SBP, systolic blood pressure; SMS, systolic morning surge; Tp-e, T-peak–to–T-end interval; TR, tricuspid regurgitation.</w:t>
      </w:r>
      <w:proofErr w:type="gramEnd"/>
    </w:p>
    <w:p w:rsidR="00BA6EC4" w:rsidRPr="00BA6EC4" w:rsidRDefault="00BA6EC4" w:rsidP="00266D66">
      <w:pPr>
        <w:pStyle w:val="NormalWeb"/>
        <w:jc w:val="both"/>
        <w:rPr>
          <w:color w:val="000000" w:themeColor="text1"/>
          <w:sz w:val="20"/>
          <w:szCs w:val="20"/>
        </w:rPr>
      </w:pPr>
      <w:r w:rsidRPr="00BA6EC4">
        <w:rPr>
          <w:rStyle w:val="Gl"/>
          <w:rFonts w:eastAsiaTheme="majorEastAsia"/>
          <w:color w:val="000000" w:themeColor="text1"/>
          <w:sz w:val="20"/>
          <w:szCs w:val="20"/>
        </w:rPr>
        <w:t>Footnote:</w:t>
      </w:r>
      <w:r w:rsidRPr="00BA6EC4">
        <w:rPr>
          <w:color w:val="000000" w:themeColor="text1"/>
          <w:sz w:val="20"/>
          <w:szCs w:val="20"/>
        </w:rPr>
        <w:br/>
        <w:t>Values are presented as mean ± standard deviation, median with interquartile range, or number with percentage, as appropriate. Between-group comparisons were performed using Student’s t-test, Mann–Whitney U test, or chi-square test. Effect sizes are expressed as Cohen’s d for continuous variables and Cohen’s h for categorical variables. This analysis was performed to evaluate whether participants with indeterminate diastolic function showed clinical and cardiovascular profiles closer to definite LVDD or definite normal diastolic function.</w:t>
      </w:r>
    </w:p>
    <w:p w:rsidR="00554CF2" w:rsidRPr="00BC5E5A" w:rsidRDefault="00554CF2" w:rsidP="00266D66">
      <w:pPr>
        <w:pStyle w:val="Balk2"/>
        <w:spacing w:before="0" w:beforeAutospacing="0" w:after="0" w:afterAutospacing="0"/>
        <w:jc w:val="both"/>
        <w:rPr>
          <w:color w:val="000000" w:themeColor="text1"/>
          <w:sz w:val="20"/>
          <w:szCs w:val="20"/>
        </w:rPr>
      </w:pPr>
      <w:r w:rsidRPr="00BC5E5A">
        <w:rPr>
          <w:color w:val="000000" w:themeColor="text1"/>
          <w:sz w:val="20"/>
          <w:szCs w:val="20"/>
        </w:rPr>
        <w:t>Supplementary Table S4. Impact of outcome reclassification of indeterminate diastolic function on model performance</w:t>
      </w:r>
    </w:p>
    <w:p w:rsidR="005D723A" w:rsidRPr="00BC5E5A" w:rsidRDefault="005D723A" w:rsidP="00266D66">
      <w:pPr>
        <w:spacing w:after="0" w:line="240" w:lineRule="auto"/>
        <w:jc w:val="both"/>
        <w:outlineLvl w:val="1"/>
        <w:rPr>
          <w:rFonts w:ascii="Times New Roman" w:eastAsia="Times New Roman" w:hAnsi="Times New Roman" w:cs="Times New Roman"/>
          <w:b/>
          <w:bCs/>
          <w:color w:val="000000" w:themeColor="text1"/>
          <w:sz w:val="20"/>
          <w:szCs w:val="20"/>
          <w:lang w:eastAsia="tr-TR"/>
        </w:rPr>
      </w:pPr>
    </w:p>
    <w:tbl>
      <w:tblPr>
        <w:tblW w:w="0" w:type="auto"/>
        <w:tblCellSpacing w:w="15" w:type="dxa"/>
        <w:tblCellMar>
          <w:top w:w="15" w:type="dxa"/>
          <w:left w:w="15" w:type="dxa"/>
          <w:bottom w:w="15" w:type="dxa"/>
          <w:right w:w="15" w:type="dxa"/>
        </w:tblCellMar>
        <w:tblLook w:val="04A0"/>
      </w:tblPr>
      <w:tblGrid>
        <w:gridCol w:w="620"/>
        <w:gridCol w:w="1418"/>
        <w:gridCol w:w="902"/>
        <w:gridCol w:w="921"/>
        <w:gridCol w:w="1046"/>
        <w:gridCol w:w="1201"/>
        <w:gridCol w:w="1274"/>
        <w:gridCol w:w="1174"/>
        <w:gridCol w:w="606"/>
      </w:tblGrid>
      <w:tr w:rsidR="005D723A" w:rsidRPr="00BC5E5A" w:rsidTr="006E0F91">
        <w:trPr>
          <w:tblHeader/>
          <w:tblCellSpacing w:w="15" w:type="dxa"/>
        </w:trPr>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BC5E5A">
              <w:rPr>
                <w:rFonts w:ascii="Times New Roman" w:eastAsia="Times New Roman" w:hAnsi="Times New Roman" w:cs="Times New Roman"/>
                <w:b/>
                <w:bCs/>
                <w:color w:val="000000" w:themeColor="text1"/>
                <w:sz w:val="20"/>
                <w:szCs w:val="20"/>
                <w:lang w:eastAsia="tr-TR"/>
              </w:rPr>
              <w:t>Model</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BC5E5A">
              <w:rPr>
                <w:rFonts w:ascii="Times New Roman" w:eastAsia="Times New Roman" w:hAnsi="Times New Roman" w:cs="Times New Roman"/>
                <w:b/>
                <w:bCs/>
                <w:color w:val="000000" w:themeColor="text1"/>
                <w:sz w:val="20"/>
                <w:szCs w:val="20"/>
                <w:lang w:eastAsia="tr-TR"/>
              </w:rPr>
              <w:t>Outcome handling</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BC5E5A">
              <w:rPr>
                <w:rFonts w:ascii="Times New Roman" w:eastAsia="Times New Roman" w:hAnsi="Times New Roman" w:cs="Times New Roman"/>
                <w:b/>
                <w:bCs/>
                <w:color w:val="000000" w:themeColor="text1"/>
                <w:sz w:val="20"/>
                <w:szCs w:val="20"/>
                <w:lang w:eastAsia="tr-TR"/>
              </w:rPr>
              <w:t>N (analysis)</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BC5E5A">
              <w:rPr>
                <w:rFonts w:ascii="Times New Roman" w:eastAsia="Times New Roman" w:hAnsi="Times New Roman" w:cs="Times New Roman"/>
                <w:b/>
                <w:bCs/>
                <w:color w:val="000000" w:themeColor="text1"/>
                <w:sz w:val="20"/>
                <w:szCs w:val="20"/>
                <w:lang w:eastAsia="tr-TR"/>
              </w:rPr>
              <w:t>LVDD+ events (n, %)</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BC5E5A">
              <w:rPr>
                <w:rFonts w:ascii="Times New Roman" w:eastAsia="Times New Roman" w:hAnsi="Times New Roman" w:cs="Times New Roman"/>
                <w:b/>
                <w:bCs/>
                <w:color w:val="000000" w:themeColor="text1"/>
                <w:sz w:val="20"/>
                <w:szCs w:val="20"/>
                <w:lang w:eastAsia="tr-TR"/>
              </w:rPr>
              <w:t>AUC (apparent)</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BC5E5A">
              <w:rPr>
                <w:rFonts w:ascii="Times New Roman" w:eastAsia="Times New Roman" w:hAnsi="Times New Roman" w:cs="Times New Roman"/>
                <w:b/>
                <w:bCs/>
                <w:color w:val="000000" w:themeColor="text1"/>
                <w:sz w:val="20"/>
                <w:szCs w:val="20"/>
                <w:lang w:eastAsia="tr-TR"/>
              </w:rPr>
              <w:t>AUC (optimism-corrected)</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BC5E5A">
              <w:rPr>
                <w:rFonts w:ascii="Times New Roman" w:eastAsia="Times New Roman" w:hAnsi="Times New Roman" w:cs="Times New Roman"/>
                <w:b/>
                <w:bCs/>
                <w:color w:val="000000" w:themeColor="text1"/>
                <w:sz w:val="20"/>
                <w:szCs w:val="20"/>
                <w:lang w:eastAsia="tr-TR"/>
              </w:rPr>
              <w:t>Calibration slope (corrected)</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BC5E5A">
              <w:rPr>
                <w:rFonts w:ascii="Times New Roman" w:eastAsia="Times New Roman" w:hAnsi="Times New Roman" w:cs="Times New Roman"/>
                <w:b/>
                <w:bCs/>
                <w:color w:val="000000" w:themeColor="text1"/>
                <w:sz w:val="20"/>
                <w:szCs w:val="20"/>
                <w:lang w:eastAsia="tr-TR"/>
              </w:rPr>
              <w:t>Calibration intercept</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b/>
                <w:bCs/>
                <w:color w:val="000000" w:themeColor="text1"/>
                <w:sz w:val="20"/>
                <w:szCs w:val="20"/>
                <w:lang w:eastAsia="tr-TR"/>
              </w:rPr>
            </w:pPr>
            <w:r w:rsidRPr="00BC5E5A">
              <w:rPr>
                <w:rFonts w:ascii="Times New Roman" w:eastAsia="Times New Roman" w:hAnsi="Times New Roman" w:cs="Times New Roman"/>
                <w:b/>
                <w:bCs/>
                <w:color w:val="000000" w:themeColor="text1"/>
                <w:sz w:val="20"/>
                <w:szCs w:val="20"/>
                <w:lang w:eastAsia="tr-TR"/>
              </w:rPr>
              <w:t>Brier score</w:t>
            </w:r>
          </w:p>
        </w:tc>
      </w:tr>
      <w:tr w:rsidR="005D723A" w:rsidRPr="00BC5E5A" w:rsidTr="006E0F91">
        <w:trPr>
          <w:tblCellSpacing w:w="15" w:type="dxa"/>
        </w:trPr>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b/>
                <w:bCs/>
                <w:color w:val="000000" w:themeColor="text1"/>
                <w:sz w:val="20"/>
                <w:szCs w:val="20"/>
                <w:lang w:eastAsia="tr-TR"/>
              </w:rPr>
              <w:t>A</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 xml:space="preserve">Indeterminate </w:t>
            </w:r>
            <w:r w:rsidRPr="00BC5E5A">
              <w:rPr>
                <w:rFonts w:ascii="Times New Roman" w:eastAsia="Times New Roman" w:hAnsi="Times New Roman" w:cs="Times New Roman"/>
                <w:b/>
                <w:bCs/>
                <w:color w:val="000000" w:themeColor="text1"/>
                <w:sz w:val="20"/>
                <w:szCs w:val="20"/>
                <w:lang w:eastAsia="tr-TR"/>
              </w:rPr>
              <w:t>excluded</w:t>
            </w:r>
            <w:r w:rsidRPr="00BC5E5A">
              <w:rPr>
                <w:rFonts w:ascii="Times New Roman" w:eastAsia="Times New Roman" w:hAnsi="Times New Roman" w:cs="Times New Roman"/>
                <w:color w:val="000000" w:themeColor="text1"/>
                <w:sz w:val="20"/>
                <w:szCs w:val="20"/>
                <w:lang w:eastAsia="tr-TR"/>
              </w:rPr>
              <w:t xml:space="preserve"> (primary)</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700</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140 (</w:t>
            </w:r>
            <w:proofErr w:type="gramStart"/>
            <w:r w:rsidRPr="00BC5E5A">
              <w:rPr>
                <w:rFonts w:ascii="Times New Roman" w:eastAsia="Times New Roman" w:hAnsi="Times New Roman" w:cs="Times New Roman"/>
                <w:color w:val="000000" w:themeColor="text1"/>
                <w:sz w:val="20"/>
                <w:szCs w:val="20"/>
                <w:lang w:eastAsia="tr-TR"/>
              </w:rPr>
              <w:t>20.0</w:t>
            </w:r>
            <w:proofErr w:type="gramEnd"/>
            <w:r w:rsidRPr="00BC5E5A">
              <w:rPr>
                <w:rFonts w:ascii="Times New Roman" w:eastAsia="Times New Roman" w:hAnsi="Times New Roman" w:cs="Times New Roman"/>
                <w:color w:val="000000" w:themeColor="text1"/>
                <w:sz w:val="20"/>
                <w:szCs w:val="20"/>
                <w:lang w:eastAsia="tr-TR"/>
              </w:rPr>
              <w:t>)</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0.87</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0.86</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0.96</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0.02</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0.115</w:t>
            </w:r>
          </w:p>
        </w:tc>
      </w:tr>
      <w:tr w:rsidR="005D723A" w:rsidRPr="00BC5E5A" w:rsidTr="006E0F91">
        <w:trPr>
          <w:tblCellSpacing w:w="15" w:type="dxa"/>
        </w:trPr>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b/>
                <w:bCs/>
                <w:color w:val="000000" w:themeColor="text1"/>
                <w:sz w:val="20"/>
                <w:szCs w:val="20"/>
                <w:lang w:eastAsia="tr-TR"/>
              </w:rPr>
              <w:t>B</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 xml:space="preserve">Indeterminate → </w:t>
            </w:r>
            <w:r w:rsidRPr="00BC5E5A">
              <w:rPr>
                <w:rFonts w:ascii="Times New Roman" w:eastAsia="Times New Roman" w:hAnsi="Times New Roman" w:cs="Times New Roman"/>
                <w:b/>
                <w:bCs/>
                <w:color w:val="000000" w:themeColor="text1"/>
                <w:sz w:val="20"/>
                <w:szCs w:val="20"/>
                <w:lang w:eastAsia="tr-TR"/>
              </w:rPr>
              <w:t>Normal</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945</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140 (</w:t>
            </w:r>
            <w:proofErr w:type="gramStart"/>
            <w:r w:rsidRPr="00BC5E5A">
              <w:rPr>
                <w:rFonts w:ascii="Times New Roman" w:eastAsia="Times New Roman" w:hAnsi="Times New Roman" w:cs="Times New Roman"/>
                <w:color w:val="000000" w:themeColor="text1"/>
                <w:sz w:val="20"/>
                <w:szCs w:val="20"/>
                <w:lang w:eastAsia="tr-TR"/>
              </w:rPr>
              <w:t>14.8</w:t>
            </w:r>
            <w:proofErr w:type="gramEnd"/>
            <w:r w:rsidRPr="00BC5E5A">
              <w:rPr>
                <w:rFonts w:ascii="Times New Roman" w:eastAsia="Times New Roman" w:hAnsi="Times New Roman" w:cs="Times New Roman"/>
                <w:color w:val="000000" w:themeColor="text1"/>
                <w:sz w:val="20"/>
                <w:szCs w:val="20"/>
                <w:lang w:eastAsia="tr-TR"/>
              </w:rPr>
              <w:t>)</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0.86</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0.85</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0.97</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0.03</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0.119</w:t>
            </w:r>
          </w:p>
        </w:tc>
      </w:tr>
      <w:tr w:rsidR="005D723A" w:rsidRPr="00BC5E5A" w:rsidTr="006E0F91">
        <w:trPr>
          <w:tblCellSpacing w:w="15" w:type="dxa"/>
        </w:trPr>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b/>
                <w:bCs/>
                <w:color w:val="000000" w:themeColor="text1"/>
                <w:sz w:val="20"/>
                <w:szCs w:val="20"/>
                <w:lang w:eastAsia="tr-TR"/>
              </w:rPr>
              <w:t>C</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 xml:space="preserve">Indeterminate → </w:t>
            </w:r>
            <w:r w:rsidRPr="00BC5E5A">
              <w:rPr>
                <w:rFonts w:ascii="Times New Roman" w:eastAsia="Times New Roman" w:hAnsi="Times New Roman" w:cs="Times New Roman"/>
                <w:b/>
                <w:bCs/>
                <w:color w:val="000000" w:themeColor="text1"/>
                <w:sz w:val="20"/>
                <w:szCs w:val="20"/>
                <w:lang w:eastAsia="tr-TR"/>
              </w:rPr>
              <w:t>LVDD</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945</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385 (</w:t>
            </w:r>
            <w:proofErr w:type="gramStart"/>
            <w:r w:rsidRPr="00BC5E5A">
              <w:rPr>
                <w:rFonts w:ascii="Times New Roman" w:eastAsia="Times New Roman" w:hAnsi="Times New Roman" w:cs="Times New Roman"/>
                <w:color w:val="000000" w:themeColor="text1"/>
                <w:sz w:val="20"/>
                <w:szCs w:val="20"/>
                <w:lang w:eastAsia="tr-TR"/>
              </w:rPr>
              <w:t>40.7</w:t>
            </w:r>
            <w:proofErr w:type="gramEnd"/>
            <w:r w:rsidRPr="00BC5E5A">
              <w:rPr>
                <w:rFonts w:ascii="Times New Roman" w:eastAsia="Times New Roman" w:hAnsi="Times New Roman" w:cs="Times New Roman"/>
                <w:color w:val="000000" w:themeColor="text1"/>
                <w:sz w:val="20"/>
                <w:szCs w:val="20"/>
                <w:lang w:eastAsia="tr-TR"/>
              </w:rPr>
              <w:t>)</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0.85</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0.84</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0.97</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-0.01</w:t>
            </w:r>
          </w:p>
        </w:tc>
        <w:tc>
          <w:tcPr>
            <w:tcW w:w="0" w:type="auto"/>
            <w:vAlign w:val="center"/>
            <w:hideMark/>
          </w:tcPr>
          <w:p w:rsidR="005D723A" w:rsidRPr="00BC5E5A" w:rsidRDefault="005D723A" w:rsidP="00266D66">
            <w:pPr>
              <w:spacing w:after="0" w:line="240" w:lineRule="auto"/>
              <w:jc w:val="both"/>
              <w:rPr>
                <w:rFonts w:ascii="Times New Roman" w:eastAsia="Times New Roman" w:hAnsi="Times New Roman" w:cs="Times New Roman"/>
                <w:color w:val="000000" w:themeColor="text1"/>
                <w:sz w:val="20"/>
                <w:szCs w:val="20"/>
                <w:lang w:eastAsia="tr-TR"/>
              </w:rPr>
            </w:pPr>
            <w:r w:rsidRPr="00BC5E5A">
              <w:rPr>
                <w:rFonts w:ascii="Times New Roman" w:eastAsia="Times New Roman" w:hAnsi="Times New Roman" w:cs="Times New Roman"/>
                <w:color w:val="000000" w:themeColor="text1"/>
                <w:sz w:val="20"/>
                <w:szCs w:val="20"/>
                <w:lang w:eastAsia="tr-TR"/>
              </w:rPr>
              <w:t>0.138</w:t>
            </w:r>
          </w:p>
        </w:tc>
      </w:tr>
    </w:tbl>
    <w:p w:rsidR="00554CF2" w:rsidRPr="00BC5E5A" w:rsidRDefault="00554CF2" w:rsidP="00266D66">
      <w:pPr>
        <w:pStyle w:val="NormalWeb"/>
        <w:spacing w:before="0" w:beforeAutospacing="0" w:after="0" w:afterAutospacing="0"/>
        <w:jc w:val="both"/>
        <w:rPr>
          <w:color w:val="000000" w:themeColor="text1"/>
          <w:sz w:val="20"/>
          <w:szCs w:val="20"/>
        </w:rPr>
      </w:pPr>
      <w:r w:rsidRPr="00BC5E5A">
        <w:rPr>
          <w:rStyle w:val="Gl"/>
          <w:rFonts w:eastAsiaTheme="majorEastAsia"/>
          <w:color w:val="000000" w:themeColor="text1"/>
          <w:sz w:val="20"/>
          <w:szCs w:val="20"/>
        </w:rPr>
        <w:t>Abbreviations:</w:t>
      </w:r>
      <w:r w:rsidRPr="00BC5E5A">
        <w:rPr>
          <w:color w:val="000000" w:themeColor="text1"/>
          <w:sz w:val="20"/>
          <w:szCs w:val="20"/>
        </w:rPr>
        <w:br/>
        <w:t>AUC, area under the receiver operating characteristic curve; LVDD, left ventricular diastolic dysfunction.</w:t>
      </w:r>
    </w:p>
    <w:p w:rsidR="00554CF2" w:rsidRPr="00554CF2" w:rsidRDefault="00554CF2" w:rsidP="00266D66">
      <w:pPr>
        <w:pStyle w:val="NormalWeb"/>
        <w:jc w:val="both"/>
        <w:rPr>
          <w:color w:val="000000" w:themeColor="text1"/>
          <w:sz w:val="20"/>
          <w:szCs w:val="20"/>
        </w:rPr>
      </w:pPr>
      <w:r w:rsidRPr="00554CF2">
        <w:rPr>
          <w:rStyle w:val="Gl"/>
          <w:rFonts w:eastAsiaTheme="majorEastAsia"/>
          <w:color w:val="000000" w:themeColor="text1"/>
          <w:sz w:val="20"/>
          <w:szCs w:val="20"/>
        </w:rPr>
        <w:t>Footnote:</w:t>
      </w:r>
      <w:r w:rsidRPr="00554CF2">
        <w:rPr>
          <w:color w:val="000000" w:themeColor="text1"/>
          <w:sz w:val="20"/>
          <w:szCs w:val="20"/>
        </w:rPr>
        <w:br/>
        <w:t>Three outcome-classification strategies were evaluated: exclusion of indeterminate cases, reclassification of indeterminate cases as normal diastolic function, and reclassification of indeterminate cases as LVDD. Apparent AUC represents model discrimination in the corresponding analytic dataset. Optimism-corrected AUC and corrected calibration slope were estimated using bootstrap internal validation. Calibration intercept and Brier score were used to assess calibration-in-the-large and overall model accuracy, respectively.</w:t>
      </w:r>
    </w:p>
    <w:p w:rsidR="00554CF2" w:rsidRPr="006E0F91" w:rsidRDefault="00554CF2" w:rsidP="00266D66">
      <w:pPr>
        <w:pStyle w:val="Balk2"/>
        <w:spacing w:before="0" w:beforeAutospacing="0" w:after="0" w:afterAutospacing="0"/>
        <w:jc w:val="both"/>
        <w:rPr>
          <w:color w:val="000000" w:themeColor="text1"/>
          <w:sz w:val="24"/>
          <w:szCs w:val="24"/>
        </w:rPr>
      </w:pPr>
      <w:r w:rsidRPr="006E0F91">
        <w:rPr>
          <w:color w:val="000000" w:themeColor="text1"/>
          <w:sz w:val="24"/>
          <w:szCs w:val="24"/>
        </w:rPr>
        <w:t>Supplementary Table S5. Detailed stepwise hierarchical model performance for discrimination of definite LVDD</w:t>
      </w:r>
    </w:p>
    <w:p w:rsidR="005D723A" w:rsidRPr="006E0F91" w:rsidRDefault="005D723A" w:rsidP="00266D66">
      <w:pPr>
        <w:pStyle w:val="NormalWeb"/>
        <w:spacing w:before="0" w:beforeAutospacing="0" w:after="0" w:afterAutospacing="0"/>
        <w:jc w:val="both"/>
        <w:rPr>
          <w:color w:val="000000" w:themeColor="text1"/>
          <w:sz w:val="20"/>
          <w:szCs w:val="20"/>
        </w:rPr>
      </w:pPr>
      <w:r w:rsidRPr="006E0F91">
        <w:rPr>
          <w:rStyle w:val="Gl"/>
          <w:color w:val="000000" w:themeColor="text1"/>
          <w:sz w:val="20"/>
          <w:szCs w:val="20"/>
        </w:rPr>
        <w:t>Outcome:</w:t>
      </w:r>
      <w:r w:rsidRPr="006E0F91">
        <w:rPr>
          <w:color w:val="000000" w:themeColor="text1"/>
          <w:sz w:val="20"/>
          <w:szCs w:val="20"/>
        </w:rPr>
        <w:t xml:space="preserve"> Definite left ventricular diastolic dysfunction (LVDD)</w:t>
      </w:r>
    </w:p>
    <w:tbl>
      <w:tblPr>
        <w:tblW w:w="0" w:type="auto"/>
        <w:tblCellSpacing w:w="15" w:type="dxa"/>
        <w:tblCellMar>
          <w:top w:w="15" w:type="dxa"/>
          <w:left w:w="15" w:type="dxa"/>
          <w:bottom w:w="15" w:type="dxa"/>
          <w:right w:w="15" w:type="dxa"/>
        </w:tblCellMar>
        <w:tblLook w:val="04A0"/>
      </w:tblPr>
      <w:tblGrid>
        <w:gridCol w:w="754"/>
        <w:gridCol w:w="2552"/>
        <w:gridCol w:w="1559"/>
        <w:gridCol w:w="1134"/>
        <w:gridCol w:w="850"/>
        <w:gridCol w:w="1134"/>
        <w:gridCol w:w="1179"/>
      </w:tblGrid>
      <w:tr w:rsidR="005D723A" w:rsidRPr="006E0F91" w:rsidTr="006E0F91">
        <w:trPr>
          <w:tblHeader/>
          <w:tblCellSpacing w:w="15" w:type="dxa"/>
        </w:trPr>
        <w:tc>
          <w:tcPr>
            <w:tcW w:w="709" w:type="dxa"/>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Model</w:t>
            </w:r>
          </w:p>
        </w:tc>
        <w:tc>
          <w:tcPr>
            <w:tcW w:w="2522" w:type="dxa"/>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Variables included</w:t>
            </w:r>
          </w:p>
        </w:tc>
        <w:tc>
          <w:tcPr>
            <w:tcW w:w="1529" w:type="dxa"/>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AUC (95% CI)</w:t>
            </w:r>
          </w:p>
        </w:tc>
        <w:tc>
          <w:tcPr>
            <w:tcW w:w="1104" w:type="dxa"/>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ΔAUC vs previous model</w:t>
            </w:r>
          </w:p>
        </w:tc>
        <w:tc>
          <w:tcPr>
            <w:tcW w:w="820" w:type="dxa"/>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DeLong p value*</w:t>
            </w:r>
          </w:p>
        </w:tc>
        <w:tc>
          <w:tcPr>
            <w:tcW w:w="1104" w:type="dxa"/>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Apparent Brier score</w:t>
            </w:r>
          </w:p>
        </w:tc>
        <w:tc>
          <w:tcPr>
            <w:tcW w:w="1134" w:type="dxa"/>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Apparent calibration slope</w:t>
            </w:r>
          </w:p>
        </w:tc>
      </w:tr>
      <w:tr w:rsidR="005D723A" w:rsidRPr="006E0F91" w:rsidTr="006E0F91">
        <w:trPr>
          <w:tblCellSpacing w:w="15" w:type="dxa"/>
        </w:trPr>
        <w:tc>
          <w:tcPr>
            <w:tcW w:w="709"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Model 0</w:t>
            </w:r>
          </w:p>
        </w:tc>
        <w:tc>
          <w:tcPr>
            <w:tcW w:w="2522"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Age, sex, BMI, diabetes mellitus, current smoking</w:t>
            </w:r>
          </w:p>
        </w:tc>
        <w:tc>
          <w:tcPr>
            <w:tcW w:w="1529"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0.72 (0.67–0.77)</w:t>
            </w:r>
          </w:p>
        </w:tc>
        <w:tc>
          <w:tcPr>
            <w:tcW w:w="110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w:t>
            </w:r>
          </w:p>
        </w:tc>
        <w:tc>
          <w:tcPr>
            <w:tcW w:w="820"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w:t>
            </w:r>
          </w:p>
        </w:tc>
        <w:tc>
          <w:tcPr>
            <w:tcW w:w="110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0.152</w:t>
            </w:r>
          </w:p>
        </w:tc>
        <w:tc>
          <w:tcPr>
            <w:tcW w:w="113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0.97</w:t>
            </w:r>
          </w:p>
        </w:tc>
      </w:tr>
      <w:tr w:rsidR="005D723A" w:rsidRPr="006E0F91" w:rsidTr="006E0F91">
        <w:trPr>
          <w:tblCellSpacing w:w="15" w:type="dxa"/>
        </w:trPr>
        <w:tc>
          <w:tcPr>
            <w:tcW w:w="709"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Model 1</w:t>
            </w:r>
          </w:p>
        </w:tc>
        <w:tc>
          <w:tcPr>
            <w:tcW w:w="2522"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Model 0 + 24-h SBP + 24-h DBP + nocturnal systolic dipping</w:t>
            </w:r>
          </w:p>
        </w:tc>
        <w:tc>
          <w:tcPr>
            <w:tcW w:w="1529"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0.77 (0.72–0.82)</w:t>
            </w:r>
          </w:p>
        </w:tc>
        <w:tc>
          <w:tcPr>
            <w:tcW w:w="110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+0.05</w:t>
            </w:r>
          </w:p>
        </w:tc>
        <w:tc>
          <w:tcPr>
            <w:tcW w:w="820"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0.004</w:t>
            </w:r>
          </w:p>
        </w:tc>
        <w:tc>
          <w:tcPr>
            <w:tcW w:w="110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0.139</w:t>
            </w:r>
          </w:p>
        </w:tc>
        <w:tc>
          <w:tcPr>
            <w:tcW w:w="113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0.95</w:t>
            </w:r>
          </w:p>
        </w:tc>
      </w:tr>
      <w:tr w:rsidR="005D723A" w:rsidRPr="006E0F91" w:rsidTr="006E0F91">
        <w:trPr>
          <w:tblCellSpacing w:w="15" w:type="dxa"/>
        </w:trPr>
        <w:tc>
          <w:tcPr>
            <w:tcW w:w="709"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Model 2</w:t>
            </w:r>
          </w:p>
        </w:tc>
        <w:tc>
          <w:tcPr>
            <w:tcW w:w="2522"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Model 1 + diastolic morning surge (DMS)</w:t>
            </w:r>
          </w:p>
        </w:tc>
        <w:tc>
          <w:tcPr>
            <w:tcW w:w="1529"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0.81 (0.77–0.87)</w:t>
            </w:r>
          </w:p>
        </w:tc>
        <w:tc>
          <w:tcPr>
            <w:tcW w:w="110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+0.04</w:t>
            </w:r>
          </w:p>
        </w:tc>
        <w:tc>
          <w:tcPr>
            <w:tcW w:w="820"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0.003</w:t>
            </w:r>
          </w:p>
        </w:tc>
        <w:tc>
          <w:tcPr>
            <w:tcW w:w="110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0.126</w:t>
            </w:r>
          </w:p>
        </w:tc>
        <w:tc>
          <w:tcPr>
            <w:tcW w:w="113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0.96</w:t>
            </w:r>
          </w:p>
        </w:tc>
      </w:tr>
      <w:tr w:rsidR="005D723A" w:rsidRPr="006E0F91" w:rsidTr="006E0F91">
        <w:trPr>
          <w:tblCellSpacing w:w="15" w:type="dxa"/>
        </w:trPr>
        <w:tc>
          <w:tcPr>
            <w:tcW w:w="709"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Model 3</w:t>
            </w:r>
          </w:p>
        </w:tc>
        <w:tc>
          <w:tcPr>
            <w:tcW w:w="2522"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Model 2 + T-peak–to–T-end interval (Tp-e)</w:t>
            </w:r>
          </w:p>
        </w:tc>
        <w:tc>
          <w:tcPr>
            <w:tcW w:w="1529"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0.85 (0.81–0.88)</w:t>
            </w:r>
          </w:p>
        </w:tc>
        <w:tc>
          <w:tcPr>
            <w:tcW w:w="110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+0.04</w:t>
            </w:r>
          </w:p>
        </w:tc>
        <w:tc>
          <w:tcPr>
            <w:tcW w:w="820"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0.002</w:t>
            </w:r>
          </w:p>
        </w:tc>
        <w:tc>
          <w:tcPr>
            <w:tcW w:w="110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0.116</w:t>
            </w:r>
          </w:p>
        </w:tc>
        <w:tc>
          <w:tcPr>
            <w:tcW w:w="113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0.98</w:t>
            </w:r>
          </w:p>
        </w:tc>
      </w:tr>
      <w:tr w:rsidR="005D723A" w:rsidRPr="006E0F91" w:rsidTr="006E0F91">
        <w:trPr>
          <w:tblCellSpacing w:w="15" w:type="dxa"/>
        </w:trPr>
        <w:tc>
          <w:tcPr>
            <w:tcW w:w="709"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Model 4</w:t>
            </w:r>
          </w:p>
        </w:tc>
        <w:tc>
          <w:tcPr>
            <w:tcW w:w="2522"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Model 3 + neutrophil-to-lymphocyte ratio (NLR)</w:t>
            </w:r>
          </w:p>
        </w:tc>
        <w:tc>
          <w:tcPr>
            <w:tcW w:w="1529"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0.87 (0.83–0.90)</w:t>
            </w:r>
          </w:p>
        </w:tc>
        <w:tc>
          <w:tcPr>
            <w:tcW w:w="110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+0.02</w:t>
            </w:r>
          </w:p>
        </w:tc>
        <w:tc>
          <w:tcPr>
            <w:tcW w:w="820"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0.030</w:t>
            </w:r>
          </w:p>
        </w:tc>
        <w:tc>
          <w:tcPr>
            <w:tcW w:w="110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0.113</w:t>
            </w:r>
          </w:p>
        </w:tc>
        <w:tc>
          <w:tcPr>
            <w:tcW w:w="113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1.00</w:t>
            </w:r>
          </w:p>
        </w:tc>
      </w:tr>
      <w:tr w:rsidR="005D723A" w:rsidRPr="006E0F91" w:rsidTr="006E0F91">
        <w:trPr>
          <w:tblCellSpacing w:w="15" w:type="dxa"/>
        </w:trPr>
        <w:tc>
          <w:tcPr>
            <w:tcW w:w="709"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Model 5</w:t>
            </w:r>
          </w:p>
        </w:tc>
        <w:tc>
          <w:tcPr>
            <w:tcW w:w="2522"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Model 4 + systolic morning surge (SMS)</w:t>
            </w:r>
          </w:p>
        </w:tc>
        <w:tc>
          <w:tcPr>
            <w:tcW w:w="1529"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0.88 (0.84–0.91)</w:t>
            </w:r>
          </w:p>
        </w:tc>
        <w:tc>
          <w:tcPr>
            <w:tcW w:w="110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+0.01</w:t>
            </w:r>
          </w:p>
        </w:tc>
        <w:tc>
          <w:tcPr>
            <w:tcW w:w="820"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0.13</w:t>
            </w:r>
          </w:p>
        </w:tc>
        <w:tc>
          <w:tcPr>
            <w:tcW w:w="110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0.109</w:t>
            </w:r>
          </w:p>
        </w:tc>
        <w:tc>
          <w:tcPr>
            <w:tcW w:w="113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1.01</w:t>
            </w:r>
          </w:p>
        </w:tc>
      </w:tr>
    </w:tbl>
    <w:p w:rsidR="005D723A" w:rsidRPr="006E0F91" w:rsidRDefault="005D723A" w:rsidP="00266D66">
      <w:pPr>
        <w:pStyle w:val="Balk3"/>
        <w:spacing w:before="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Bootstrap internal validation (1000 resamples)</w:t>
      </w:r>
    </w:p>
    <w:tbl>
      <w:tblPr>
        <w:tblW w:w="0" w:type="auto"/>
        <w:tblCellSpacing w:w="15" w:type="dxa"/>
        <w:tblCellMar>
          <w:top w:w="15" w:type="dxa"/>
          <w:left w:w="15" w:type="dxa"/>
          <w:bottom w:w="15" w:type="dxa"/>
          <w:right w:w="15" w:type="dxa"/>
        </w:tblCellMar>
        <w:tblLook w:val="04A0"/>
      </w:tblPr>
      <w:tblGrid>
        <w:gridCol w:w="748"/>
        <w:gridCol w:w="2276"/>
        <w:gridCol w:w="2408"/>
      </w:tblGrid>
      <w:tr w:rsidR="005D723A" w:rsidRPr="006E0F91" w:rsidTr="006E0F91">
        <w:trPr>
          <w:tblHeader/>
          <w:tblCellSpacing w:w="15" w:type="dxa"/>
        </w:trPr>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Model</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Optimism-corrected AUC</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Corrected calibration slope</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Model 4</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0.86</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0.97</w:t>
            </w:r>
          </w:p>
        </w:tc>
      </w:tr>
    </w:tbl>
    <w:p w:rsidR="00554CF2" w:rsidRPr="00554CF2" w:rsidRDefault="00554CF2" w:rsidP="00266D66">
      <w:pPr>
        <w:pStyle w:val="NormalWeb"/>
        <w:spacing w:before="0" w:beforeAutospacing="0" w:after="0" w:afterAutospacing="0"/>
        <w:jc w:val="both"/>
        <w:rPr>
          <w:color w:val="000000" w:themeColor="text1"/>
          <w:sz w:val="20"/>
          <w:szCs w:val="20"/>
        </w:rPr>
      </w:pPr>
      <w:proofErr w:type="gramStart"/>
      <w:r w:rsidRPr="00554CF2">
        <w:rPr>
          <w:rStyle w:val="Gl"/>
          <w:rFonts w:eastAsiaTheme="majorEastAsia"/>
          <w:color w:val="000000" w:themeColor="text1"/>
          <w:sz w:val="20"/>
          <w:szCs w:val="20"/>
        </w:rPr>
        <w:t>Abbreviations:</w:t>
      </w:r>
      <w:r w:rsidRPr="00554CF2">
        <w:rPr>
          <w:color w:val="000000" w:themeColor="text1"/>
          <w:sz w:val="20"/>
          <w:szCs w:val="20"/>
        </w:rPr>
        <w:br/>
        <w:t>ABPM, ambulatory blood pressure monitoring; AUC, area under the receiver operating characteristic curve; BMI, body mass index; DBP, diastolic blood pressure; DMS, diastolic morning surge; LVDD, left ventricular diastolic dysfunction; NLR, neutrophil-to-lymphocyte ratio; SBP, systolic blood pressure; SMS, systolic morning surge; Tp-e, T-peak–to–T-end interval.</w:t>
      </w:r>
      <w:proofErr w:type="gramEnd"/>
    </w:p>
    <w:p w:rsidR="00554CF2" w:rsidRPr="00554CF2" w:rsidRDefault="00554CF2" w:rsidP="00266D66">
      <w:pPr>
        <w:pStyle w:val="NormalWeb"/>
        <w:jc w:val="both"/>
        <w:rPr>
          <w:color w:val="000000" w:themeColor="text1"/>
          <w:sz w:val="20"/>
          <w:szCs w:val="20"/>
        </w:rPr>
      </w:pPr>
      <w:r w:rsidRPr="00554CF2">
        <w:rPr>
          <w:rStyle w:val="Gl"/>
          <w:rFonts w:eastAsiaTheme="majorEastAsia"/>
          <w:color w:val="000000" w:themeColor="text1"/>
          <w:sz w:val="20"/>
          <w:szCs w:val="20"/>
        </w:rPr>
        <w:t>Footnote:</w:t>
      </w:r>
      <w:r w:rsidRPr="00554CF2">
        <w:rPr>
          <w:color w:val="000000" w:themeColor="text1"/>
          <w:sz w:val="20"/>
          <w:szCs w:val="20"/>
        </w:rPr>
        <w:br/>
        <w:t xml:space="preserve">Detailed hierarchical logistic regression models were constructed to evaluate the incremental contribution of each domain separately. The baseline clinical model included age, sex, BMI, diabetes mellitus, and current smoking. ABPM variables were then added, followed by DMS, Tp-e interval, and NLR. SMS was evaluated as a sensitivity extension and was not retained in the final parsimonious model. Discrimination was quantified using AUC, and incremental changes in AUC were compared using the DeLong test for correlated ROC curves. </w:t>
      </w:r>
      <w:r w:rsidRPr="00554CF2">
        <w:rPr>
          <w:color w:val="000000" w:themeColor="text1"/>
          <w:sz w:val="20"/>
          <w:szCs w:val="20"/>
        </w:rPr>
        <w:lastRenderedPageBreak/>
        <w:t>Overall accuracy was assessed using the Brier score, and calibration was summarized using the calibration slope. Bootstrap internal validation was performed using 1000 resamples for the final prespecified model.</w:t>
      </w:r>
    </w:p>
    <w:p w:rsidR="005749D3" w:rsidRPr="006E0F91" w:rsidRDefault="005749D3" w:rsidP="00266D66">
      <w:pPr>
        <w:pStyle w:val="Balk2"/>
        <w:spacing w:before="0" w:beforeAutospacing="0" w:after="0" w:afterAutospacing="0"/>
        <w:jc w:val="both"/>
        <w:rPr>
          <w:color w:val="000000" w:themeColor="text1"/>
          <w:sz w:val="24"/>
          <w:szCs w:val="24"/>
        </w:rPr>
      </w:pPr>
      <w:r w:rsidRPr="006E0F91">
        <w:rPr>
          <w:color w:val="000000" w:themeColor="text1"/>
          <w:sz w:val="24"/>
          <w:szCs w:val="24"/>
        </w:rPr>
        <w:t>Supplementary Table S6. Exploratory centered interaction analysis added to the final multidomain model</w:t>
      </w:r>
    </w:p>
    <w:p w:rsidR="005D723A" w:rsidRPr="006E0F91" w:rsidRDefault="005D723A" w:rsidP="00266D66">
      <w:pPr>
        <w:pStyle w:val="NormalWeb"/>
        <w:spacing w:before="0" w:beforeAutospacing="0" w:after="0" w:afterAutospacing="0"/>
        <w:jc w:val="both"/>
        <w:rPr>
          <w:color w:val="000000" w:themeColor="text1"/>
          <w:sz w:val="20"/>
          <w:szCs w:val="20"/>
        </w:rPr>
      </w:pPr>
      <w:r w:rsidRPr="006E0F91">
        <w:rPr>
          <w:rStyle w:val="Gl"/>
          <w:color w:val="000000" w:themeColor="text1"/>
          <w:sz w:val="20"/>
          <w:szCs w:val="20"/>
        </w:rPr>
        <w:t>Outcome:</w:t>
      </w:r>
      <w:r w:rsidRPr="006E0F91">
        <w:rPr>
          <w:color w:val="000000" w:themeColor="text1"/>
          <w:sz w:val="20"/>
          <w:szCs w:val="20"/>
        </w:rPr>
        <w:t xml:space="preserve"> Definite left ventricular diastolic dysfunction (LVDD)</w:t>
      </w:r>
    </w:p>
    <w:p w:rsidR="005D723A" w:rsidRPr="006E0F91" w:rsidRDefault="005D723A" w:rsidP="00266D66">
      <w:pPr>
        <w:pStyle w:val="Balk3"/>
        <w:spacing w:before="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A. Centered interaction terms added to the final hierarchical model (Model 4)</w:t>
      </w:r>
    </w:p>
    <w:tbl>
      <w:tblPr>
        <w:tblW w:w="0" w:type="auto"/>
        <w:tblCellSpacing w:w="15" w:type="dxa"/>
        <w:tblCellMar>
          <w:top w:w="15" w:type="dxa"/>
          <w:left w:w="15" w:type="dxa"/>
          <w:bottom w:w="15" w:type="dxa"/>
          <w:right w:w="15" w:type="dxa"/>
        </w:tblCellMar>
        <w:tblLook w:val="04A0"/>
      </w:tblPr>
      <w:tblGrid>
        <w:gridCol w:w="1492"/>
        <w:gridCol w:w="2044"/>
        <w:gridCol w:w="692"/>
      </w:tblGrid>
      <w:tr w:rsidR="005D723A" w:rsidRPr="006E0F91" w:rsidTr="006E0F91">
        <w:trPr>
          <w:tblHeader/>
          <w:tblCellSpacing w:w="15" w:type="dxa"/>
        </w:trPr>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Interaction term</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Adjusted OR (95% CI)</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proofErr w:type="gramStart"/>
            <w:r w:rsidRPr="006E0F91">
              <w:rPr>
                <w:rFonts w:ascii="Times New Roman" w:hAnsi="Times New Roman" w:cs="Times New Roman"/>
                <w:b/>
                <w:bCs/>
                <w:color w:val="000000" w:themeColor="text1"/>
                <w:sz w:val="20"/>
                <w:szCs w:val="20"/>
              </w:rPr>
              <w:t>p</w:t>
            </w:r>
            <w:proofErr w:type="gramEnd"/>
            <w:r w:rsidRPr="006E0F91">
              <w:rPr>
                <w:rFonts w:ascii="Times New Roman" w:hAnsi="Times New Roman" w:cs="Times New Roman"/>
                <w:b/>
                <w:bCs/>
                <w:color w:val="000000" w:themeColor="text1"/>
                <w:sz w:val="20"/>
                <w:szCs w:val="20"/>
              </w:rPr>
              <w:t xml:space="preserve"> value</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cDMS × cTp-e</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1.015 (1.006–1.024)</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0.001</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cDMS × cNLR</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1.09 (1.02–1.17)</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0.012</w:t>
            </w:r>
          </w:p>
        </w:tc>
      </w:tr>
    </w:tbl>
    <w:p w:rsidR="005D723A" w:rsidRPr="006E0F91" w:rsidRDefault="005D723A" w:rsidP="00266D66">
      <w:pPr>
        <w:pStyle w:val="Balk3"/>
        <w:spacing w:before="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B. Model performance before and after addition of centered interaction terms</w:t>
      </w:r>
    </w:p>
    <w:tbl>
      <w:tblPr>
        <w:tblW w:w="0" w:type="auto"/>
        <w:tblCellSpacing w:w="15" w:type="dxa"/>
        <w:tblCellMar>
          <w:top w:w="15" w:type="dxa"/>
          <w:left w:w="15" w:type="dxa"/>
          <w:bottom w:w="15" w:type="dxa"/>
          <w:right w:w="15" w:type="dxa"/>
        </w:tblCellMar>
        <w:tblLook w:val="04A0"/>
      </w:tblPr>
      <w:tblGrid>
        <w:gridCol w:w="3306"/>
        <w:gridCol w:w="1494"/>
        <w:gridCol w:w="619"/>
        <w:gridCol w:w="1158"/>
        <w:gridCol w:w="1401"/>
        <w:gridCol w:w="260"/>
        <w:gridCol w:w="924"/>
      </w:tblGrid>
      <w:tr w:rsidR="005D723A" w:rsidRPr="006E0F91" w:rsidTr="006E0F91">
        <w:trPr>
          <w:tblHeader/>
          <w:tblCellSpacing w:w="15" w:type="dxa"/>
        </w:trPr>
        <w:tc>
          <w:tcPr>
            <w:tcW w:w="3261" w:type="dxa"/>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Model</w:t>
            </w:r>
          </w:p>
        </w:tc>
        <w:tc>
          <w:tcPr>
            <w:tcW w:w="1464" w:type="dxa"/>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AUC (95% CI)</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ΔAUC</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DeLong p value</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Likelihood ratio χ²</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df</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LRT p value</w:t>
            </w:r>
          </w:p>
        </w:tc>
      </w:tr>
      <w:tr w:rsidR="005D723A" w:rsidRPr="006E0F91" w:rsidTr="006E0F91">
        <w:trPr>
          <w:tblCellSpacing w:w="15" w:type="dxa"/>
        </w:trPr>
        <w:tc>
          <w:tcPr>
            <w:tcW w:w="3261"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Model 4 (without interaction terms)</w:t>
            </w:r>
          </w:p>
        </w:tc>
        <w:tc>
          <w:tcPr>
            <w:tcW w:w="146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0.87 (0.83–0.90)</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w:t>
            </w:r>
          </w:p>
        </w:tc>
      </w:tr>
      <w:tr w:rsidR="005D723A" w:rsidRPr="006E0F91" w:rsidTr="006E0F91">
        <w:trPr>
          <w:tblCellSpacing w:w="15" w:type="dxa"/>
        </w:trPr>
        <w:tc>
          <w:tcPr>
            <w:tcW w:w="3261"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Model 6 (Model 4 + cDMS × cTp-e + cDMS × cNLR)</w:t>
            </w:r>
          </w:p>
        </w:tc>
        <w:tc>
          <w:tcPr>
            <w:tcW w:w="1464"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0.89 (0.85–0.92)</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+0.02</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0.04</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6.2</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2</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0.041</w:t>
            </w:r>
          </w:p>
        </w:tc>
      </w:tr>
    </w:tbl>
    <w:p w:rsidR="005749D3" w:rsidRPr="000E6534" w:rsidRDefault="005749D3" w:rsidP="00266D66">
      <w:pPr>
        <w:pStyle w:val="NormalWeb"/>
        <w:jc w:val="both"/>
        <w:rPr>
          <w:color w:val="000000" w:themeColor="text1"/>
          <w:sz w:val="20"/>
          <w:szCs w:val="20"/>
        </w:rPr>
      </w:pPr>
      <w:proofErr w:type="gramStart"/>
      <w:r w:rsidRPr="000E6534">
        <w:rPr>
          <w:rStyle w:val="Gl"/>
          <w:rFonts w:eastAsiaTheme="majorEastAsia"/>
          <w:color w:val="000000" w:themeColor="text1"/>
          <w:sz w:val="20"/>
          <w:szCs w:val="20"/>
        </w:rPr>
        <w:t>Abbreviations:</w:t>
      </w:r>
      <w:r w:rsidRPr="000E6534">
        <w:rPr>
          <w:color w:val="000000" w:themeColor="text1"/>
          <w:sz w:val="20"/>
          <w:szCs w:val="20"/>
        </w:rPr>
        <w:br/>
        <w:t>AUC, area under the receiver operating characteristic curve; cDMS, centered diastolic morning surge; cNLR, centered neutrophil-to-lymphocyte ratio; cTp-e, centered T-peak–to–T-end interval; DMS, diastolic morning surge; LVDD, left ventricular diastolic dysfunction; LRT, likelihood ratio test; NLR, neutrophil-to-lymphocyte ratio; OR, odds ratio; Tp-e, T-peak–to–T-end interval.</w:t>
      </w:r>
      <w:proofErr w:type="gramEnd"/>
    </w:p>
    <w:p w:rsidR="005749D3" w:rsidRPr="000E6534" w:rsidRDefault="005749D3" w:rsidP="00266D66">
      <w:pPr>
        <w:pStyle w:val="NormalWeb"/>
        <w:jc w:val="both"/>
        <w:rPr>
          <w:color w:val="000000" w:themeColor="text1"/>
          <w:sz w:val="20"/>
          <w:szCs w:val="20"/>
        </w:rPr>
      </w:pPr>
      <w:r w:rsidRPr="000E6534">
        <w:rPr>
          <w:rStyle w:val="Gl"/>
          <w:rFonts w:eastAsiaTheme="majorEastAsia"/>
          <w:color w:val="000000" w:themeColor="text1"/>
          <w:sz w:val="20"/>
          <w:szCs w:val="20"/>
        </w:rPr>
        <w:t>Footnote:</w:t>
      </w:r>
      <w:r w:rsidRPr="000E6534">
        <w:rPr>
          <w:color w:val="000000" w:themeColor="text1"/>
          <w:sz w:val="20"/>
          <w:szCs w:val="20"/>
        </w:rPr>
        <w:br/>
        <w:t xml:space="preserve">DMS, Tp-e interval, and NLR were mean-centered before construction of multiplicative interaction terms. </w:t>
      </w:r>
      <w:proofErr w:type="gramStart"/>
      <w:r w:rsidRPr="000E6534">
        <w:rPr>
          <w:color w:val="000000" w:themeColor="text1"/>
          <w:sz w:val="20"/>
          <w:szCs w:val="20"/>
        </w:rPr>
        <w:t xml:space="preserve">Centered variables were defined as cDMS = DMS − 10.68 mmHg, cTp-e = Tp-e − 82.66 ms, and cNLR = NLR − 2.11. Interaction terms were added to the final multidomain model to explore whether the associations of Tp-e interval and NLR with definite LVDD varied according to the level of DMS. </w:t>
      </w:r>
      <w:proofErr w:type="gramEnd"/>
      <w:r w:rsidRPr="000E6534">
        <w:rPr>
          <w:color w:val="000000" w:themeColor="text1"/>
          <w:sz w:val="20"/>
          <w:szCs w:val="20"/>
        </w:rPr>
        <w:t>Changes in discrimination were assessed using AUC and the DeLong test. Improvement in nested model fit was assessed using the likelihood ratio test. These analyses were exploratory and hypothesis-generating.</w:t>
      </w:r>
    </w:p>
    <w:p w:rsidR="00EF5674" w:rsidRPr="006E0F91" w:rsidRDefault="00EF5674" w:rsidP="00266D66">
      <w:pPr>
        <w:pStyle w:val="Balk2"/>
        <w:spacing w:before="0" w:beforeAutospacing="0" w:after="0" w:afterAutospacing="0"/>
        <w:jc w:val="both"/>
        <w:rPr>
          <w:color w:val="000000" w:themeColor="text1"/>
          <w:sz w:val="24"/>
          <w:szCs w:val="24"/>
        </w:rPr>
      </w:pPr>
      <w:r w:rsidRPr="006E0F91">
        <w:rPr>
          <w:color w:val="000000" w:themeColor="text1"/>
          <w:sz w:val="24"/>
          <w:szCs w:val="24"/>
        </w:rPr>
        <w:t>Supplementary Table S7. Sensitivity analysis incorporating systolic morning surge</w:t>
      </w:r>
    </w:p>
    <w:p w:rsidR="005D723A" w:rsidRPr="006E0F91" w:rsidRDefault="005D723A" w:rsidP="00266D66">
      <w:pPr>
        <w:pStyle w:val="NormalWeb"/>
        <w:spacing w:before="0" w:beforeAutospacing="0" w:after="0" w:afterAutospacing="0"/>
        <w:jc w:val="both"/>
        <w:rPr>
          <w:color w:val="000000" w:themeColor="text1"/>
          <w:sz w:val="20"/>
          <w:szCs w:val="20"/>
        </w:rPr>
      </w:pPr>
      <w:r w:rsidRPr="006E0F91">
        <w:rPr>
          <w:rStyle w:val="Gl"/>
          <w:color w:val="000000" w:themeColor="text1"/>
          <w:sz w:val="20"/>
          <w:szCs w:val="20"/>
        </w:rPr>
        <w:t>Outcome:</w:t>
      </w:r>
      <w:r w:rsidRPr="006E0F91">
        <w:rPr>
          <w:color w:val="000000" w:themeColor="text1"/>
          <w:sz w:val="20"/>
          <w:szCs w:val="20"/>
        </w:rPr>
        <w:t xml:space="preserve"> Definite left ventricular diastolic dysfunction (LVDD)</w:t>
      </w:r>
    </w:p>
    <w:p w:rsidR="005D723A" w:rsidRPr="006E0F91" w:rsidRDefault="005D723A" w:rsidP="00266D66">
      <w:pPr>
        <w:pStyle w:val="Balk3"/>
        <w:spacing w:before="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A. Incremental discriminatory value of SMS beyond the primary final model</w:t>
      </w:r>
    </w:p>
    <w:tbl>
      <w:tblPr>
        <w:tblW w:w="0" w:type="auto"/>
        <w:tblCellSpacing w:w="15" w:type="dxa"/>
        <w:tblCellMar>
          <w:top w:w="15" w:type="dxa"/>
          <w:left w:w="15" w:type="dxa"/>
          <w:bottom w:w="15" w:type="dxa"/>
          <w:right w:w="15" w:type="dxa"/>
        </w:tblCellMar>
        <w:tblLook w:val="04A0"/>
      </w:tblPr>
      <w:tblGrid>
        <w:gridCol w:w="754"/>
        <w:gridCol w:w="2552"/>
        <w:gridCol w:w="1423"/>
        <w:gridCol w:w="907"/>
        <w:gridCol w:w="936"/>
        <w:gridCol w:w="1179"/>
        <w:gridCol w:w="1411"/>
      </w:tblGrid>
      <w:tr w:rsidR="005D723A" w:rsidRPr="006E0F91" w:rsidTr="00830166">
        <w:trPr>
          <w:tblHeader/>
          <w:tblCellSpacing w:w="15" w:type="dxa"/>
        </w:trPr>
        <w:tc>
          <w:tcPr>
            <w:tcW w:w="709" w:type="dxa"/>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Model</w:t>
            </w:r>
          </w:p>
        </w:tc>
        <w:tc>
          <w:tcPr>
            <w:tcW w:w="2522" w:type="dxa"/>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Variables included</w:t>
            </w:r>
          </w:p>
        </w:tc>
        <w:tc>
          <w:tcPr>
            <w:tcW w:w="1393" w:type="dxa"/>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AUC (95% CI)</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ΔAUC vs Model 4</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DeLong p value</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Apparent Brier score</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Apparent calibration slope</w:t>
            </w:r>
          </w:p>
        </w:tc>
      </w:tr>
      <w:tr w:rsidR="005D723A" w:rsidRPr="006E0F91" w:rsidTr="00830166">
        <w:trPr>
          <w:tblCellSpacing w:w="15" w:type="dxa"/>
        </w:trPr>
        <w:tc>
          <w:tcPr>
            <w:tcW w:w="709"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Model 4</w:t>
            </w:r>
          </w:p>
        </w:tc>
        <w:tc>
          <w:tcPr>
            <w:tcW w:w="2522"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Age, sex, BMI, diabetes, current smoking, 24-h SBP, 24-h DBP, nocturnal systolic dipping, DMS, Tp-e, NLR</w:t>
            </w:r>
          </w:p>
        </w:tc>
        <w:tc>
          <w:tcPr>
            <w:tcW w:w="1393"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0.87 (0.83–0.90)</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0.113</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1.00</w:t>
            </w:r>
          </w:p>
        </w:tc>
      </w:tr>
      <w:tr w:rsidR="005D723A" w:rsidRPr="006E0F91" w:rsidTr="00830166">
        <w:trPr>
          <w:tblCellSpacing w:w="15" w:type="dxa"/>
        </w:trPr>
        <w:tc>
          <w:tcPr>
            <w:tcW w:w="709"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Model 5</w:t>
            </w:r>
          </w:p>
        </w:tc>
        <w:tc>
          <w:tcPr>
            <w:tcW w:w="2522"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Model 4 + SMS</w:t>
            </w:r>
          </w:p>
        </w:tc>
        <w:tc>
          <w:tcPr>
            <w:tcW w:w="1393" w:type="dxa"/>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0.88 (0.84–0.91)</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+0.01</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0.13</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0.109</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1.01</w:t>
            </w:r>
          </w:p>
        </w:tc>
      </w:tr>
    </w:tbl>
    <w:p w:rsidR="005D723A" w:rsidRPr="006E0F91" w:rsidRDefault="005D723A" w:rsidP="00266D66">
      <w:pPr>
        <w:pStyle w:val="Balk3"/>
        <w:spacing w:before="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B. Adjusted association of SMS in the sensitivity model</w:t>
      </w:r>
    </w:p>
    <w:tbl>
      <w:tblPr>
        <w:tblW w:w="0" w:type="auto"/>
        <w:tblCellSpacing w:w="15" w:type="dxa"/>
        <w:tblCellMar>
          <w:top w:w="15" w:type="dxa"/>
          <w:left w:w="15" w:type="dxa"/>
          <w:bottom w:w="15" w:type="dxa"/>
          <w:right w:w="15" w:type="dxa"/>
        </w:tblCellMar>
        <w:tblLook w:val="04A0"/>
      </w:tblPr>
      <w:tblGrid>
        <w:gridCol w:w="820"/>
        <w:gridCol w:w="2044"/>
        <w:gridCol w:w="677"/>
        <w:gridCol w:w="420"/>
      </w:tblGrid>
      <w:tr w:rsidR="005D723A" w:rsidRPr="006E0F91" w:rsidTr="006E0F91">
        <w:trPr>
          <w:tblHeader/>
          <w:tblCellSpacing w:w="15" w:type="dxa"/>
        </w:trPr>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Variable</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Adjusted OR (95% CI)</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proofErr w:type="gramStart"/>
            <w:r w:rsidRPr="006E0F91">
              <w:rPr>
                <w:rFonts w:ascii="Times New Roman" w:hAnsi="Times New Roman" w:cs="Times New Roman"/>
                <w:b/>
                <w:bCs/>
                <w:color w:val="000000" w:themeColor="text1"/>
                <w:sz w:val="20"/>
                <w:szCs w:val="20"/>
              </w:rPr>
              <w:t>p</w:t>
            </w:r>
            <w:proofErr w:type="gramEnd"/>
            <w:r w:rsidRPr="006E0F91">
              <w:rPr>
                <w:rFonts w:ascii="Times New Roman" w:hAnsi="Times New Roman" w:cs="Times New Roman"/>
                <w:b/>
                <w:bCs/>
                <w:color w:val="000000" w:themeColor="text1"/>
                <w:sz w:val="20"/>
                <w:szCs w:val="20"/>
              </w:rPr>
              <w:t xml:space="preserve"> value</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b/>
                <w:bCs/>
                <w:color w:val="000000" w:themeColor="text1"/>
                <w:sz w:val="20"/>
                <w:szCs w:val="20"/>
              </w:rPr>
            </w:pPr>
            <w:r w:rsidRPr="006E0F91">
              <w:rPr>
                <w:rFonts w:ascii="Times New Roman" w:hAnsi="Times New Roman" w:cs="Times New Roman"/>
                <w:b/>
                <w:bCs/>
                <w:color w:val="000000" w:themeColor="text1"/>
                <w:sz w:val="20"/>
                <w:szCs w:val="20"/>
              </w:rPr>
              <w:t>VIF</w:t>
            </w:r>
          </w:p>
        </w:tc>
      </w:tr>
      <w:tr w:rsidR="005D723A" w:rsidRPr="006E0F91" w:rsidTr="006E0F91">
        <w:trPr>
          <w:tblCellSpacing w:w="15" w:type="dxa"/>
        </w:trPr>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SMS</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1.03 (1.00–1.06)</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0.08</w:t>
            </w:r>
          </w:p>
        </w:tc>
        <w:tc>
          <w:tcPr>
            <w:tcW w:w="0" w:type="auto"/>
            <w:vAlign w:val="center"/>
            <w:hideMark/>
          </w:tcPr>
          <w:p w:rsidR="005D723A" w:rsidRPr="006E0F91" w:rsidRDefault="005D723A" w:rsidP="00266D66">
            <w:pPr>
              <w:spacing w:after="0" w:line="240" w:lineRule="auto"/>
              <w:jc w:val="both"/>
              <w:rPr>
                <w:rFonts w:ascii="Times New Roman" w:hAnsi="Times New Roman" w:cs="Times New Roman"/>
                <w:color w:val="000000" w:themeColor="text1"/>
                <w:sz w:val="20"/>
                <w:szCs w:val="20"/>
              </w:rPr>
            </w:pPr>
            <w:r w:rsidRPr="006E0F91">
              <w:rPr>
                <w:rFonts w:ascii="Times New Roman" w:hAnsi="Times New Roman" w:cs="Times New Roman"/>
                <w:color w:val="000000" w:themeColor="text1"/>
                <w:sz w:val="20"/>
                <w:szCs w:val="20"/>
              </w:rPr>
              <w:t>2.9</w:t>
            </w:r>
          </w:p>
        </w:tc>
      </w:tr>
    </w:tbl>
    <w:p w:rsidR="00EF5674" w:rsidRPr="00EF5674" w:rsidRDefault="00EF5674" w:rsidP="00266D66">
      <w:pPr>
        <w:pStyle w:val="NormalWeb"/>
        <w:jc w:val="both"/>
        <w:rPr>
          <w:color w:val="000000" w:themeColor="text1"/>
          <w:sz w:val="20"/>
          <w:szCs w:val="20"/>
        </w:rPr>
      </w:pPr>
      <w:proofErr w:type="gramStart"/>
      <w:r w:rsidRPr="00EF5674">
        <w:rPr>
          <w:rStyle w:val="Gl"/>
          <w:rFonts w:eastAsiaTheme="majorEastAsia"/>
          <w:color w:val="000000" w:themeColor="text1"/>
          <w:sz w:val="20"/>
          <w:szCs w:val="20"/>
        </w:rPr>
        <w:t>Abbreviations:</w:t>
      </w:r>
      <w:r w:rsidRPr="00EF5674">
        <w:rPr>
          <w:color w:val="000000" w:themeColor="text1"/>
          <w:sz w:val="20"/>
          <w:szCs w:val="20"/>
        </w:rPr>
        <w:br/>
        <w:t>AUC, area under the receiver operating characteristic curve; BMI, body mass index; DBP, diastolic blood pressure; DMS, diastolic morning surge; LVDD, left ventricular diastolic dysfunction; NLR, neutrophil-to-lymphocyte ratio; OR, odds ratio; SBP, systolic blood pressure; SMS, systolic morning surge; Tp-e, T-peak–to–T-end interval; VIF, variance inflation factor.</w:t>
      </w:r>
      <w:proofErr w:type="gramEnd"/>
    </w:p>
    <w:p w:rsidR="00EF5674" w:rsidRPr="00EF5674" w:rsidRDefault="00EF5674" w:rsidP="00266D66">
      <w:pPr>
        <w:pStyle w:val="NormalWeb"/>
        <w:jc w:val="both"/>
        <w:rPr>
          <w:color w:val="000000" w:themeColor="text1"/>
          <w:sz w:val="20"/>
          <w:szCs w:val="20"/>
        </w:rPr>
      </w:pPr>
      <w:r w:rsidRPr="00EF5674">
        <w:rPr>
          <w:rStyle w:val="Gl"/>
          <w:rFonts w:eastAsiaTheme="majorEastAsia"/>
          <w:color w:val="000000" w:themeColor="text1"/>
          <w:sz w:val="20"/>
          <w:szCs w:val="20"/>
        </w:rPr>
        <w:t>Footnote:</w:t>
      </w:r>
      <w:r w:rsidRPr="00EF5674">
        <w:rPr>
          <w:color w:val="000000" w:themeColor="text1"/>
          <w:sz w:val="20"/>
          <w:szCs w:val="20"/>
        </w:rPr>
        <w:br/>
        <w:t xml:space="preserve">SMS was evaluated as a sensitivity extension of the final multidomain model to determine whether systolic circadian dynamics provided incremental discriminatory information beyond DMS, Tp-e interval, and NLR. </w:t>
      </w:r>
      <w:r w:rsidRPr="00EF5674">
        <w:rPr>
          <w:color w:val="000000" w:themeColor="text1"/>
          <w:sz w:val="20"/>
          <w:szCs w:val="20"/>
        </w:rPr>
        <w:lastRenderedPageBreak/>
        <w:t>Model discrimination, Brier score, calibration slope, adjusted odds ratio, and variance inflation factor were examined. Because SMS did not significantly improve discrimination and had minimal effect on calibration or overall accuracy, it was not retained in the final parsimonious model.</w:t>
      </w:r>
    </w:p>
    <w:p w:rsidR="008A6E41" w:rsidRPr="006E0F91" w:rsidRDefault="008A6E41" w:rsidP="00266D66">
      <w:pPr>
        <w:jc w:val="both"/>
        <w:rPr>
          <w:rFonts w:ascii="Times New Roman" w:hAnsi="Times New Roman" w:cs="Times New Roman"/>
          <w:color w:val="000000" w:themeColor="text1"/>
          <w:sz w:val="20"/>
          <w:szCs w:val="20"/>
        </w:rPr>
      </w:pPr>
    </w:p>
    <w:sectPr w:rsidR="008A6E41" w:rsidRPr="006E0F91" w:rsidSect="008A6E4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5D723A"/>
    <w:rsid w:val="00004E3F"/>
    <w:rsid w:val="000670BA"/>
    <w:rsid w:val="000B736D"/>
    <w:rsid w:val="000E6534"/>
    <w:rsid w:val="00137843"/>
    <w:rsid w:val="00154A01"/>
    <w:rsid w:val="001B224F"/>
    <w:rsid w:val="001C272F"/>
    <w:rsid w:val="00235B19"/>
    <w:rsid w:val="00266D66"/>
    <w:rsid w:val="002F2584"/>
    <w:rsid w:val="003D6AF9"/>
    <w:rsid w:val="003F4187"/>
    <w:rsid w:val="00500DB8"/>
    <w:rsid w:val="00554CF2"/>
    <w:rsid w:val="005749D3"/>
    <w:rsid w:val="0058013D"/>
    <w:rsid w:val="005D723A"/>
    <w:rsid w:val="006B5D1E"/>
    <w:rsid w:val="006E0F91"/>
    <w:rsid w:val="00704ADE"/>
    <w:rsid w:val="007730F2"/>
    <w:rsid w:val="007A124A"/>
    <w:rsid w:val="007F5129"/>
    <w:rsid w:val="008256AA"/>
    <w:rsid w:val="00830166"/>
    <w:rsid w:val="008561EE"/>
    <w:rsid w:val="008A6E41"/>
    <w:rsid w:val="00997028"/>
    <w:rsid w:val="00B6054C"/>
    <w:rsid w:val="00BA6EC4"/>
    <w:rsid w:val="00BC5E5A"/>
    <w:rsid w:val="00E91AA6"/>
    <w:rsid w:val="00EF5674"/>
    <w:rsid w:val="00EF6971"/>
    <w:rsid w:val="00F658D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23A"/>
  </w:style>
  <w:style w:type="paragraph" w:styleId="Balk1">
    <w:name w:val="heading 1"/>
    <w:basedOn w:val="Normal"/>
    <w:next w:val="Normal"/>
    <w:link w:val="Balk1Char"/>
    <w:uiPriority w:val="9"/>
    <w:qFormat/>
    <w:rsid w:val="005D72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link w:val="Balk2Char"/>
    <w:uiPriority w:val="9"/>
    <w:qFormat/>
    <w:rsid w:val="005D723A"/>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next w:val="Normal"/>
    <w:link w:val="Balk3Char"/>
    <w:uiPriority w:val="9"/>
    <w:semiHidden/>
    <w:unhideWhenUsed/>
    <w:qFormat/>
    <w:rsid w:val="005D723A"/>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5D723A"/>
    <w:rPr>
      <w:rFonts w:ascii="Times New Roman" w:eastAsia="Times New Roman" w:hAnsi="Times New Roman" w:cs="Times New Roman"/>
      <w:b/>
      <w:bCs/>
      <w:sz w:val="36"/>
      <w:szCs w:val="36"/>
      <w:lang w:eastAsia="tr-TR"/>
    </w:rPr>
  </w:style>
  <w:style w:type="character" w:styleId="Gl">
    <w:name w:val="Strong"/>
    <w:basedOn w:val="VarsaylanParagrafYazTipi"/>
    <w:uiPriority w:val="22"/>
    <w:qFormat/>
    <w:rsid w:val="005D723A"/>
    <w:rPr>
      <w:b/>
      <w:bCs/>
    </w:rPr>
  </w:style>
  <w:style w:type="character" w:customStyle="1" w:styleId="Balk3Char">
    <w:name w:val="Başlık 3 Char"/>
    <w:basedOn w:val="VarsaylanParagrafYazTipi"/>
    <w:link w:val="Balk3"/>
    <w:uiPriority w:val="9"/>
    <w:semiHidden/>
    <w:rsid w:val="005D723A"/>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5D723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5D723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12121519">
      <w:bodyDiv w:val="1"/>
      <w:marLeft w:val="0"/>
      <w:marRight w:val="0"/>
      <w:marTop w:val="0"/>
      <w:marBottom w:val="0"/>
      <w:divBdr>
        <w:top w:val="none" w:sz="0" w:space="0" w:color="auto"/>
        <w:left w:val="none" w:sz="0" w:space="0" w:color="auto"/>
        <w:bottom w:val="none" w:sz="0" w:space="0" w:color="auto"/>
        <w:right w:val="none" w:sz="0" w:space="0" w:color="auto"/>
      </w:divBdr>
      <w:divsChild>
        <w:div w:id="2061048175">
          <w:marLeft w:val="0"/>
          <w:marRight w:val="0"/>
          <w:marTop w:val="0"/>
          <w:marBottom w:val="0"/>
          <w:divBdr>
            <w:top w:val="none" w:sz="0" w:space="0" w:color="auto"/>
            <w:left w:val="none" w:sz="0" w:space="0" w:color="auto"/>
            <w:bottom w:val="none" w:sz="0" w:space="0" w:color="auto"/>
            <w:right w:val="none" w:sz="0" w:space="0" w:color="auto"/>
          </w:divBdr>
          <w:divsChild>
            <w:div w:id="1356230320">
              <w:marLeft w:val="0"/>
              <w:marRight w:val="0"/>
              <w:marTop w:val="0"/>
              <w:marBottom w:val="0"/>
              <w:divBdr>
                <w:top w:val="none" w:sz="0" w:space="0" w:color="auto"/>
                <w:left w:val="none" w:sz="0" w:space="0" w:color="auto"/>
                <w:bottom w:val="none" w:sz="0" w:space="0" w:color="auto"/>
                <w:right w:val="none" w:sz="0" w:space="0" w:color="auto"/>
              </w:divBdr>
              <w:divsChild>
                <w:div w:id="1531409168">
                  <w:marLeft w:val="0"/>
                  <w:marRight w:val="0"/>
                  <w:marTop w:val="0"/>
                  <w:marBottom w:val="0"/>
                  <w:divBdr>
                    <w:top w:val="none" w:sz="0" w:space="0" w:color="auto"/>
                    <w:left w:val="none" w:sz="0" w:space="0" w:color="auto"/>
                    <w:bottom w:val="none" w:sz="0" w:space="0" w:color="auto"/>
                    <w:right w:val="none" w:sz="0" w:space="0" w:color="auto"/>
                  </w:divBdr>
                  <w:divsChild>
                    <w:div w:id="2114667771">
                      <w:marLeft w:val="0"/>
                      <w:marRight w:val="0"/>
                      <w:marTop w:val="0"/>
                      <w:marBottom w:val="0"/>
                      <w:divBdr>
                        <w:top w:val="none" w:sz="0" w:space="0" w:color="auto"/>
                        <w:left w:val="none" w:sz="0" w:space="0" w:color="auto"/>
                        <w:bottom w:val="none" w:sz="0" w:space="0" w:color="auto"/>
                        <w:right w:val="none" w:sz="0" w:space="0" w:color="auto"/>
                      </w:divBdr>
                      <w:divsChild>
                        <w:div w:id="740373711">
                          <w:marLeft w:val="0"/>
                          <w:marRight w:val="0"/>
                          <w:marTop w:val="0"/>
                          <w:marBottom w:val="0"/>
                          <w:divBdr>
                            <w:top w:val="none" w:sz="0" w:space="0" w:color="auto"/>
                            <w:left w:val="none" w:sz="0" w:space="0" w:color="auto"/>
                            <w:bottom w:val="none" w:sz="0" w:space="0" w:color="auto"/>
                            <w:right w:val="none" w:sz="0" w:space="0" w:color="auto"/>
                          </w:divBdr>
                          <w:divsChild>
                            <w:div w:id="1223951561">
                              <w:marLeft w:val="0"/>
                              <w:marRight w:val="0"/>
                              <w:marTop w:val="0"/>
                              <w:marBottom w:val="0"/>
                              <w:divBdr>
                                <w:top w:val="none" w:sz="0" w:space="0" w:color="auto"/>
                                <w:left w:val="none" w:sz="0" w:space="0" w:color="auto"/>
                                <w:bottom w:val="none" w:sz="0" w:space="0" w:color="auto"/>
                                <w:right w:val="none" w:sz="0" w:space="0" w:color="auto"/>
                              </w:divBdr>
                              <w:divsChild>
                                <w:div w:id="106044903">
                                  <w:marLeft w:val="0"/>
                                  <w:marRight w:val="0"/>
                                  <w:marTop w:val="0"/>
                                  <w:marBottom w:val="0"/>
                                  <w:divBdr>
                                    <w:top w:val="none" w:sz="0" w:space="0" w:color="auto"/>
                                    <w:left w:val="none" w:sz="0" w:space="0" w:color="auto"/>
                                    <w:bottom w:val="none" w:sz="0" w:space="0" w:color="auto"/>
                                    <w:right w:val="none" w:sz="0" w:space="0" w:color="auto"/>
                                  </w:divBdr>
                                  <w:divsChild>
                                    <w:div w:id="78311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11</Pages>
  <Words>4462</Words>
  <Characters>25435</Characters>
  <Application>Microsoft Office Word</Application>
  <DocSecurity>0</DocSecurity>
  <Lines>211</Lines>
  <Paragraphs>59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CIHANBEYLIDH</dc:creator>
  <cp:lastModifiedBy>CIHANBEYLIDH</cp:lastModifiedBy>
  <cp:revision>35</cp:revision>
  <dcterms:created xsi:type="dcterms:W3CDTF">2026-05-21T10:58:00Z</dcterms:created>
  <dcterms:modified xsi:type="dcterms:W3CDTF">2026-05-22T07:46:00Z</dcterms:modified>
</cp:coreProperties>
</file>