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F0019">
      <w:pPr>
        <w:spacing w:line="480" w:lineRule="auto"/>
        <w:rPr>
          <w:rFonts w:hint="default" w:ascii="Times New Roman" w:hAnsi="Times New Roman" w:eastAsia="宋体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sz w:val="28"/>
          <w:szCs w:val="28"/>
        </w:rPr>
        <w:t>Higher cumulative CTI (cuCTI) and persistently high CTI trajectory are independently associated with elevated risk of incident cardiometabolic multimorbidity (CMM).</w:t>
      </w:r>
    </w:p>
    <w:p w14:paraId="0AFEA3E0">
      <w:pPr>
        <w:spacing w:line="480" w:lineRule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 xml:space="preserve">cuCTI shows a </w:t>
      </w:r>
      <w:r>
        <w:rPr>
          <w:rStyle w:val="4"/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bdr w:val="none" w:color="auto" w:sz="0" w:space="0"/>
        </w:rPr>
        <w:t>linear dose–response relationship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 with CMM risk, supporting cumulative metabolic damage.</w:t>
      </w:r>
    </w:p>
    <w:p w14:paraId="204AC9D2">
      <w:pPr>
        <w:spacing w:line="480" w:lineRule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 xml:space="preserve">Body Roundness Index (BRI) </w:t>
      </w:r>
      <w:r>
        <w:rPr>
          <w:rStyle w:val="4"/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bdr w:val="none" w:color="auto" w:sz="0" w:space="0"/>
        </w:rPr>
        <w:t>partially mediates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 the association between cuCTI and CMM, explaining 7.0% of the total effect.</w:t>
      </w:r>
    </w:p>
    <w:p w14:paraId="47D16EB7">
      <w:pPr>
        <w:spacing w:line="48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Longitudinal monitoring of cumulative metabolic burden and body fat distribution may improve early prevention of CMM.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F6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2026-05-13T09:28:24Z</dcterms:created>
  <dc:creator>Administrator</dc:creator>
  <cp:lastModifiedBy>清风</cp:lastModifiedBy>
  <dcterms:modified xsi:type="dcterms:W3CDTF">2026-05-13T09:29:07Z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eyJoZGlkIjoiODg2ZjFiMzA3NGNiOGZhNDA0YTYzOTgxZWE5NWVkZWEiLCJ1c2VySWQiOiI1OTk3NDgyOTMifQ==</vt:lpwstr>
  </property>
  <property fmtid="{D5CDD505-2E9C-101B-9397-08002B2CF9AE}" pid="4" name="ICV">
    <vt:lpwstr>9CA3CF17CE23492C93D736A07EE12A46_12</vt:lpwstr>
  </property>
</Properties>
</file>