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2709F" w14:textId="6154F92C" w:rsidR="00F971B3" w:rsidRPr="002F5818" w:rsidRDefault="002F5818" w:rsidP="00DD0425">
      <w:pPr>
        <w:widowControl/>
        <w:snapToGrid w:val="0"/>
        <w:spacing w:after="200" w:line="276" w:lineRule="auto"/>
        <w:jc w:val="center"/>
        <w:rPr>
          <w:rFonts w:ascii="Cambria" w:hAnsi="Cambria" w:cs="Times New Roman" w:hint="eastAsia"/>
          <w:kern w:val="0"/>
          <w:szCs w:val="22"/>
          <w14:ligatures w14:val="none"/>
        </w:rPr>
      </w:pPr>
      <w:r>
        <w:rPr>
          <w:rFonts w:ascii="Cambria" w:hAnsi="Cambria" w:cs="Times New Roman" w:hint="eastAsia"/>
          <w:b/>
          <w:kern w:val="0"/>
          <w:sz w:val="30"/>
          <w:szCs w:val="22"/>
          <w14:ligatures w14:val="none"/>
        </w:rPr>
        <w:t>Supplementary Material</w:t>
      </w:r>
    </w:p>
    <w:p w14:paraId="4D7B4027" w14:textId="77777777" w:rsidR="00EE55AB" w:rsidRDefault="009D5F41" w:rsidP="009D5F41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Figure S1. Crude mortality across phenotypes in the validation cohort</w:t>
      </w:r>
    </w:p>
    <w:p w14:paraId="0C590737" w14:textId="77777777" w:rsidR="00EE55AB" w:rsidRDefault="009F7787" w:rsidP="009F778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00E9167E" wp14:editId="5EC97B8C">
            <wp:extent cx="5274310" cy="1385570"/>
            <wp:effectExtent l="0" t="0" r="2540" b="5080"/>
            <wp:docPr id="7210375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37562" name="图片 7210375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683CC" w14:textId="77777777" w:rsidR="007D154A" w:rsidRDefault="007F08BA" w:rsidP="007F08BA">
      <w:pPr>
        <w:rPr>
          <w:rFonts w:ascii="Times New Roman" w:hAnsi="Times New Roman"/>
          <w:sz w:val="24"/>
        </w:rPr>
        <w:sectPr w:rsidR="007D154A" w:rsidSect="001616E3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hint="eastAsia"/>
          <w:sz w:val="24"/>
        </w:rPr>
        <w:t>A-B shows ICU mortality and hospital mortality in the eICU validation cohort</w:t>
      </w:r>
    </w:p>
    <w:p w14:paraId="33AB1981" w14:textId="77777777" w:rsidR="004B39E5" w:rsidRDefault="003C4FBC" w:rsidP="000422F4">
      <w:pPr>
        <w:snapToGrid w:val="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lastRenderedPageBreak/>
        <w:t>Table S1. eICU baseline characteristics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812"/>
        <w:gridCol w:w="1968"/>
        <w:gridCol w:w="2189"/>
        <w:gridCol w:w="2236"/>
        <w:gridCol w:w="2130"/>
        <w:gridCol w:w="1072"/>
      </w:tblGrid>
      <w:tr w:rsidR="003C4FBC" w:rsidRPr="00E91ADF" w14:paraId="4FC9D865" w14:textId="77777777" w:rsidTr="000F326E">
        <w:trPr>
          <w:trHeight w:val="227"/>
        </w:trPr>
        <w:tc>
          <w:tcPr>
            <w:tcW w:w="91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5FE2F06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Variable</w:t>
            </w:r>
          </w:p>
        </w:tc>
        <w:tc>
          <w:tcPr>
            <w:tcW w:w="64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35EC5C2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Overall</w:t>
            </w:r>
          </w:p>
        </w:tc>
        <w:tc>
          <w:tcPr>
            <w:tcW w:w="70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5D56F61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Reference</w:t>
            </w:r>
          </w:p>
        </w:tc>
        <w:tc>
          <w:tcPr>
            <w:tcW w:w="78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81EB628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Isolated hyperlactatemia</w:t>
            </w:r>
          </w:p>
        </w:tc>
        <w:tc>
          <w:tcPr>
            <w:tcW w:w="801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D3ECED0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Hemodynamic hypoperfusion</w:t>
            </w:r>
          </w:p>
        </w:tc>
        <w:tc>
          <w:tcPr>
            <w:tcW w:w="76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D90B079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Combined hypoperfusion</w:t>
            </w:r>
          </w:p>
        </w:tc>
        <w:tc>
          <w:tcPr>
            <w:tcW w:w="38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2CEBA33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P value</w:t>
            </w:r>
          </w:p>
        </w:tc>
      </w:tr>
      <w:tr w:rsidR="003C4FBC" w:rsidRPr="00E91ADF" w14:paraId="32DEBC48" w14:textId="77777777" w:rsidTr="000F326E">
        <w:trPr>
          <w:trHeight w:val="227"/>
        </w:trPr>
        <w:tc>
          <w:tcPr>
            <w:tcW w:w="914" w:type="pct"/>
            <w:tcBorders>
              <w:top w:val="single" w:sz="8" w:space="0" w:color="auto"/>
            </w:tcBorders>
            <w:vAlign w:val="center"/>
          </w:tcPr>
          <w:p w14:paraId="0D7F786F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N</w:t>
            </w:r>
          </w:p>
        </w:tc>
        <w:tc>
          <w:tcPr>
            <w:tcW w:w="649" w:type="pct"/>
            <w:tcBorders>
              <w:top w:val="single" w:sz="8" w:space="0" w:color="auto"/>
            </w:tcBorders>
            <w:vAlign w:val="center"/>
          </w:tcPr>
          <w:p w14:paraId="6E3BE75B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10756</w:t>
            </w:r>
          </w:p>
        </w:tc>
        <w:tc>
          <w:tcPr>
            <w:tcW w:w="705" w:type="pct"/>
            <w:tcBorders>
              <w:top w:val="single" w:sz="8" w:space="0" w:color="auto"/>
            </w:tcBorders>
            <w:vAlign w:val="center"/>
          </w:tcPr>
          <w:p w14:paraId="0B276E45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1969</w:t>
            </w:r>
          </w:p>
        </w:tc>
        <w:tc>
          <w:tcPr>
            <w:tcW w:w="784" w:type="pct"/>
            <w:tcBorders>
              <w:top w:val="single" w:sz="8" w:space="0" w:color="auto"/>
            </w:tcBorders>
            <w:vAlign w:val="center"/>
          </w:tcPr>
          <w:p w14:paraId="02BE093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748</w:t>
            </w:r>
          </w:p>
        </w:tc>
        <w:tc>
          <w:tcPr>
            <w:tcW w:w="801" w:type="pct"/>
            <w:tcBorders>
              <w:top w:val="single" w:sz="8" w:space="0" w:color="auto"/>
            </w:tcBorders>
            <w:vAlign w:val="center"/>
          </w:tcPr>
          <w:p w14:paraId="4F75172A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4999</w:t>
            </w:r>
          </w:p>
        </w:tc>
        <w:tc>
          <w:tcPr>
            <w:tcW w:w="763" w:type="pct"/>
            <w:tcBorders>
              <w:top w:val="single" w:sz="8" w:space="0" w:color="auto"/>
            </w:tcBorders>
            <w:vAlign w:val="center"/>
          </w:tcPr>
          <w:p w14:paraId="5A069454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3040</w:t>
            </w:r>
          </w:p>
        </w:tc>
        <w:tc>
          <w:tcPr>
            <w:tcW w:w="384" w:type="pct"/>
            <w:tcBorders>
              <w:top w:val="single" w:sz="8" w:space="0" w:color="auto"/>
            </w:tcBorders>
            <w:vAlign w:val="center"/>
          </w:tcPr>
          <w:p w14:paraId="497544D7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</w:tr>
      <w:tr w:rsidR="003C4FBC" w:rsidRPr="00E91ADF" w14:paraId="3B7BA5B3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25E9D745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sz w:val="15"/>
                <w:szCs w:val="15"/>
                <w:lang w:eastAsia="zh-CN"/>
              </w:rPr>
              <w:t>Demographics</w:t>
            </w:r>
          </w:p>
        </w:tc>
        <w:tc>
          <w:tcPr>
            <w:tcW w:w="649" w:type="pct"/>
            <w:vAlign w:val="center"/>
          </w:tcPr>
          <w:p w14:paraId="16F445F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05" w:type="pct"/>
            <w:vAlign w:val="center"/>
          </w:tcPr>
          <w:p w14:paraId="342DBF2C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84" w:type="pct"/>
            <w:vAlign w:val="center"/>
          </w:tcPr>
          <w:p w14:paraId="5A0BC0AB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0FEB371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63" w:type="pct"/>
            <w:vAlign w:val="center"/>
          </w:tcPr>
          <w:p w14:paraId="4DAE28F4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2D65F52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</w:tr>
      <w:tr w:rsidR="003C4FBC" w:rsidRPr="00E91ADF" w14:paraId="797E2F25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1190A284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Age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 xml:space="preserve">, </w:t>
            </w: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median (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IQR)</w:t>
            </w:r>
          </w:p>
        </w:tc>
        <w:tc>
          <w:tcPr>
            <w:tcW w:w="649" w:type="pct"/>
            <w:vAlign w:val="center"/>
          </w:tcPr>
          <w:p w14:paraId="74B7574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67.0 [56.0, 78.0]</w:t>
            </w:r>
          </w:p>
        </w:tc>
        <w:tc>
          <w:tcPr>
            <w:tcW w:w="705" w:type="pct"/>
            <w:vAlign w:val="center"/>
          </w:tcPr>
          <w:p w14:paraId="389D0B67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63.0 [52.0, 74.0]</w:t>
            </w:r>
          </w:p>
        </w:tc>
        <w:tc>
          <w:tcPr>
            <w:tcW w:w="784" w:type="pct"/>
            <w:vAlign w:val="center"/>
          </w:tcPr>
          <w:p w14:paraId="7BCB2D94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66.0 [54.0, 77.2]</w:t>
            </w:r>
          </w:p>
        </w:tc>
        <w:tc>
          <w:tcPr>
            <w:tcW w:w="801" w:type="pct"/>
            <w:vAlign w:val="center"/>
          </w:tcPr>
          <w:p w14:paraId="3CA08BB0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68.0 [57.0, 78.0]</w:t>
            </w:r>
          </w:p>
        </w:tc>
        <w:tc>
          <w:tcPr>
            <w:tcW w:w="763" w:type="pct"/>
            <w:vAlign w:val="center"/>
          </w:tcPr>
          <w:p w14:paraId="761BC1C4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69.0 [57.0, 80.0]</w:t>
            </w:r>
          </w:p>
        </w:tc>
        <w:tc>
          <w:tcPr>
            <w:tcW w:w="384" w:type="pct"/>
            <w:vAlign w:val="center"/>
          </w:tcPr>
          <w:p w14:paraId="21E56C73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64EA4101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78E3A78F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Male, n (%)</w:t>
            </w:r>
          </w:p>
        </w:tc>
        <w:tc>
          <w:tcPr>
            <w:tcW w:w="649" w:type="pct"/>
            <w:vAlign w:val="center"/>
          </w:tcPr>
          <w:p w14:paraId="50A0025F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5489 (51.0%)</w:t>
            </w:r>
          </w:p>
        </w:tc>
        <w:tc>
          <w:tcPr>
            <w:tcW w:w="705" w:type="pct"/>
            <w:vAlign w:val="center"/>
          </w:tcPr>
          <w:p w14:paraId="2587E63B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1115 (56.6%)</w:t>
            </w:r>
          </w:p>
        </w:tc>
        <w:tc>
          <w:tcPr>
            <w:tcW w:w="784" w:type="pct"/>
            <w:vAlign w:val="center"/>
          </w:tcPr>
          <w:p w14:paraId="6998389A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436 (58.3%)</w:t>
            </w:r>
          </w:p>
        </w:tc>
        <w:tc>
          <w:tcPr>
            <w:tcW w:w="801" w:type="pct"/>
            <w:vAlign w:val="center"/>
          </w:tcPr>
          <w:p w14:paraId="0FC05D9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2409 (48.2%)</w:t>
            </w:r>
          </w:p>
        </w:tc>
        <w:tc>
          <w:tcPr>
            <w:tcW w:w="763" w:type="pct"/>
            <w:vAlign w:val="center"/>
          </w:tcPr>
          <w:p w14:paraId="61D41890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1529 (50.3%)</w:t>
            </w:r>
          </w:p>
        </w:tc>
        <w:tc>
          <w:tcPr>
            <w:tcW w:w="384" w:type="pct"/>
            <w:vAlign w:val="center"/>
          </w:tcPr>
          <w:p w14:paraId="20BF45EC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7E12C74A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09CCAE24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Female, n (%)</w:t>
            </w:r>
          </w:p>
        </w:tc>
        <w:tc>
          <w:tcPr>
            <w:tcW w:w="649" w:type="pct"/>
            <w:vAlign w:val="center"/>
          </w:tcPr>
          <w:p w14:paraId="0C414857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5267 (49%)</w:t>
            </w:r>
          </w:p>
        </w:tc>
        <w:tc>
          <w:tcPr>
            <w:tcW w:w="705" w:type="pct"/>
            <w:vAlign w:val="center"/>
          </w:tcPr>
          <w:p w14:paraId="3F80D9F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854 (43.4%)</w:t>
            </w:r>
          </w:p>
        </w:tc>
        <w:tc>
          <w:tcPr>
            <w:tcW w:w="784" w:type="pct"/>
            <w:vAlign w:val="center"/>
          </w:tcPr>
          <w:p w14:paraId="4D37BB71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312 (41.7%)</w:t>
            </w:r>
          </w:p>
        </w:tc>
        <w:tc>
          <w:tcPr>
            <w:tcW w:w="801" w:type="pct"/>
            <w:vAlign w:val="center"/>
          </w:tcPr>
          <w:p w14:paraId="6E1EB38B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2590 (51.8%)</w:t>
            </w:r>
          </w:p>
        </w:tc>
        <w:tc>
          <w:tcPr>
            <w:tcW w:w="763" w:type="pct"/>
            <w:vAlign w:val="center"/>
          </w:tcPr>
          <w:p w14:paraId="2ADABF01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1511 (49.7%)</w:t>
            </w:r>
          </w:p>
        </w:tc>
        <w:tc>
          <w:tcPr>
            <w:tcW w:w="384" w:type="pct"/>
            <w:vAlign w:val="center"/>
          </w:tcPr>
          <w:p w14:paraId="24DE453C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6B7CE70E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31746070" w14:textId="56CD0FC4" w:rsidR="003C4FBC" w:rsidRPr="00E91ADF" w:rsidRDefault="000F326E" w:rsidP="003C4FBC">
            <w:pPr>
              <w:pStyle w:val="HeadingCustom1"/>
              <w:snapToGrid w:val="0"/>
              <w:rPr>
                <w:rFonts w:eastAsia="宋体"/>
                <w:sz w:val="15"/>
                <w:szCs w:val="15"/>
                <w:lang w:eastAsia="zh-CN"/>
              </w:rPr>
            </w:pPr>
            <w:r w:rsidRPr="000F326E">
              <w:rPr>
                <w:rFonts w:eastAsia="宋体"/>
                <w:sz w:val="15"/>
                <w:szCs w:val="15"/>
                <w:lang w:eastAsia="zh-CN"/>
              </w:rPr>
              <w:t>Early physiologic profile (first 24 h)</w:t>
            </w:r>
          </w:p>
        </w:tc>
        <w:tc>
          <w:tcPr>
            <w:tcW w:w="649" w:type="pct"/>
            <w:vAlign w:val="center"/>
          </w:tcPr>
          <w:p w14:paraId="58A47A95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05" w:type="pct"/>
            <w:vAlign w:val="center"/>
          </w:tcPr>
          <w:p w14:paraId="38FF946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84" w:type="pct"/>
            <w:vAlign w:val="center"/>
          </w:tcPr>
          <w:p w14:paraId="3FEDDB76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23090ABF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63" w:type="pct"/>
            <w:vAlign w:val="center"/>
          </w:tcPr>
          <w:p w14:paraId="2CEE02C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41EE3BE7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</w:tr>
      <w:tr w:rsidR="003C4FBC" w:rsidRPr="00E91ADF" w14:paraId="7CCD243A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31B8F1A2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SOFA score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 xml:space="preserve">, </w:t>
            </w: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median (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IQR)</w:t>
            </w:r>
          </w:p>
        </w:tc>
        <w:tc>
          <w:tcPr>
            <w:tcW w:w="649" w:type="pct"/>
            <w:vAlign w:val="center"/>
          </w:tcPr>
          <w:p w14:paraId="1F1A9CE9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8.0 [5.0, 11.0]</w:t>
            </w:r>
          </w:p>
        </w:tc>
        <w:tc>
          <w:tcPr>
            <w:tcW w:w="705" w:type="pct"/>
            <w:vAlign w:val="center"/>
          </w:tcPr>
          <w:p w14:paraId="5B024DF1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6.0 [4.0, 8.0]</w:t>
            </w:r>
          </w:p>
        </w:tc>
        <w:tc>
          <w:tcPr>
            <w:tcW w:w="784" w:type="pct"/>
            <w:vAlign w:val="center"/>
          </w:tcPr>
          <w:p w14:paraId="0274F258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7.0 [5.0, 10.0]</w:t>
            </w:r>
          </w:p>
        </w:tc>
        <w:tc>
          <w:tcPr>
            <w:tcW w:w="801" w:type="pct"/>
            <w:vAlign w:val="center"/>
          </w:tcPr>
          <w:p w14:paraId="5B81BAA3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7.0 [5.0, 10.0]</w:t>
            </w:r>
          </w:p>
        </w:tc>
        <w:tc>
          <w:tcPr>
            <w:tcW w:w="763" w:type="pct"/>
            <w:vAlign w:val="center"/>
          </w:tcPr>
          <w:p w14:paraId="1AE1E08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10.0 [7.0, 13.0]</w:t>
            </w:r>
          </w:p>
        </w:tc>
        <w:tc>
          <w:tcPr>
            <w:tcW w:w="384" w:type="pct"/>
            <w:vAlign w:val="center"/>
          </w:tcPr>
          <w:p w14:paraId="667049D3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02EB150F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64F3B995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 xml:space="preserve">pH, </w:t>
            </w: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median (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IQR)</w:t>
            </w:r>
          </w:p>
        </w:tc>
        <w:tc>
          <w:tcPr>
            <w:tcW w:w="649" w:type="pct"/>
            <w:vAlign w:val="center"/>
          </w:tcPr>
          <w:p w14:paraId="75237459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7.3 [7.2, 7.4]</w:t>
            </w:r>
          </w:p>
        </w:tc>
        <w:tc>
          <w:tcPr>
            <w:tcW w:w="705" w:type="pct"/>
            <w:vAlign w:val="center"/>
          </w:tcPr>
          <w:p w14:paraId="6C3377C2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7.4 [7.3, 7.4]</w:t>
            </w:r>
          </w:p>
        </w:tc>
        <w:tc>
          <w:tcPr>
            <w:tcW w:w="784" w:type="pct"/>
            <w:vAlign w:val="center"/>
          </w:tcPr>
          <w:p w14:paraId="0D865061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7.3 [7.3, 7.4]</w:t>
            </w:r>
          </w:p>
        </w:tc>
        <w:tc>
          <w:tcPr>
            <w:tcW w:w="801" w:type="pct"/>
            <w:vAlign w:val="center"/>
          </w:tcPr>
          <w:p w14:paraId="74C6594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7.3 [7.2, 7.4]</w:t>
            </w:r>
          </w:p>
        </w:tc>
        <w:tc>
          <w:tcPr>
            <w:tcW w:w="763" w:type="pct"/>
            <w:vAlign w:val="center"/>
          </w:tcPr>
          <w:p w14:paraId="785CC46C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7.3 [7.1, 7.3]</w:t>
            </w:r>
          </w:p>
        </w:tc>
        <w:tc>
          <w:tcPr>
            <w:tcW w:w="384" w:type="pct"/>
            <w:vAlign w:val="center"/>
          </w:tcPr>
          <w:p w14:paraId="19E86157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18662721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0F939ABF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 xml:space="preserve">ICU LOS, </w:t>
            </w: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median (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IQR)</w:t>
            </w:r>
          </w:p>
        </w:tc>
        <w:tc>
          <w:tcPr>
            <w:tcW w:w="649" w:type="pct"/>
            <w:vAlign w:val="center"/>
          </w:tcPr>
          <w:p w14:paraId="2CA45101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2.0 [1.0, 4.0]</w:t>
            </w:r>
          </w:p>
        </w:tc>
        <w:tc>
          <w:tcPr>
            <w:tcW w:w="705" w:type="pct"/>
            <w:vAlign w:val="center"/>
          </w:tcPr>
          <w:p w14:paraId="36C46603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1.0 [0.0, 3.0]</w:t>
            </w:r>
          </w:p>
        </w:tc>
        <w:tc>
          <w:tcPr>
            <w:tcW w:w="784" w:type="pct"/>
            <w:vAlign w:val="center"/>
          </w:tcPr>
          <w:p w14:paraId="278A41FB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2.0 [0.0, 4.0]</w:t>
            </w:r>
          </w:p>
        </w:tc>
        <w:tc>
          <w:tcPr>
            <w:tcW w:w="801" w:type="pct"/>
            <w:vAlign w:val="center"/>
          </w:tcPr>
          <w:p w14:paraId="7E11F932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2.0 [1.0, 4.0]</w:t>
            </w:r>
          </w:p>
        </w:tc>
        <w:tc>
          <w:tcPr>
            <w:tcW w:w="763" w:type="pct"/>
            <w:vAlign w:val="center"/>
          </w:tcPr>
          <w:p w14:paraId="1291EA27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2.0 [1.0, 5.0]</w:t>
            </w:r>
          </w:p>
        </w:tc>
        <w:tc>
          <w:tcPr>
            <w:tcW w:w="384" w:type="pct"/>
            <w:vAlign w:val="center"/>
          </w:tcPr>
          <w:p w14:paraId="02D09EBB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7A890233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21F7E380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 xml:space="preserve">Hospital LOS, </w:t>
            </w: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median (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IQR)</w:t>
            </w:r>
          </w:p>
        </w:tc>
        <w:tc>
          <w:tcPr>
            <w:tcW w:w="649" w:type="pct"/>
            <w:vAlign w:val="center"/>
          </w:tcPr>
          <w:p w14:paraId="3DDF6D0F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6.0 [3.0, 11.0]</w:t>
            </w:r>
          </w:p>
        </w:tc>
        <w:tc>
          <w:tcPr>
            <w:tcW w:w="705" w:type="pct"/>
            <w:vAlign w:val="center"/>
          </w:tcPr>
          <w:p w14:paraId="3F679DD5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6.0 [3.0, 10.0]</w:t>
            </w:r>
          </w:p>
        </w:tc>
        <w:tc>
          <w:tcPr>
            <w:tcW w:w="784" w:type="pct"/>
            <w:vAlign w:val="center"/>
          </w:tcPr>
          <w:p w14:paraId="051ED5D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6.0 [3.0, 11.0]</w:t>
            </w:r>
          </w:p>
        </w:tc>
        <w:tc>
          <w:tcPr>
            <w:tcW w:w="801" w:type="pct"/>
            <w:vAlign w:val="center"/>
          </w:tcPr>
          <w:p w14:paraId="0AFF3ED4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6.0 [4.0, 11.0]</w:t>
            </w:r>
          </w:p>
        </w:tc>
        <w:tc>
          <w:tcPr>
            <w:tcW w:w="763" w:type="pct"/>
            <w:vAlign w:val="center"/>
          </w:tcPr>
          <w:p w14:paraId="7D19FFB0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5.0 [1.0, 11.0]</w:t>
            </w:r>
          </w:p>
        </w:tc>
        <w:tc>
          <w:tcPr>
            <w:tcW w:w="384" w:type="pct"/>
            <w:vAlign w:val="center"/>
          </w:tcPr>
          <w:p w14:paraId="6972F760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682D656C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7526670B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sz w:val="15"/>
                <w:szCs w:val="15"/>
                <w:lang w:eastAsia="zh-CN"/>
              </w:rPr>
              <w:t>Perfusion-related variables</w:t>
            </w:r>
          </w:p>
        </w:tc>
        <w:tc>
          <w:tcPr>
            <w:tcW w:w="649" w:type="pct"/>
            <w:vAlign w:val="center"/>
          </w:tcPr>
          <w:p w14:paraId="5D4C0F66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05" w:type="pct"/>
            <w:vAlign w:val="center"/>
          </w:tcPr>
          <w:p w14:paraId="49F7A661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84" w:type="pct"/>
            <w:vAlign w:val="center"/>
          </w:tcPr>
          <w:p w14:paraId="3CB6A769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46414E9F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63" w:type="pct"/>
            <w:vAlign w:val="center"/>
          </w:tcPr>
          <w:p w14:paraId="5271FDA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7A1DE6D5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</w:tr>
      <w:tr w:rsidR="003C4FBC" w:rsidRPr="00E91ADF" w14:paraId="15BC66D4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3098DDBE" w14:textId="77777777" w:rsidR="003C4FBC" w:rsidRPr="00E91ADF" w:rsidRDefault="003C4FBC" w:rsidP="003C4FBC">
            <w:pPr>
              <w:pStyle w:val="HeadingCustom1"/>
              <w:tabs>
                <w:tab w:val="left" w:pos="1190"/>
              </w:tabs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Lactate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 xml:space="preserve">, </w:t>
            </w: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median (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IQR)</w:t>
            </w:r>
          </w:p>
        </w:tc>
        <w:tc>
          <w:tcPr>
            <w:tcW w:w="649" w:type="pct"/>
            <w:vAlign w:val="center"/>
          </w:tcPr>
          <w:p w14:paraId="737F7F03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1.6 [1.0, 2.4]</w:t>
            </w:r>
          </w:p>
        </w:tc>
        <w:tc>
          <w:tcPr>
            <w:tcW w:w="705" w:type="pct"/>
            <w:vAlign w:val="center"/>
          </w:tcPr>
          <w:p w14:paraId="7D3890B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1.2 [0.9, 1.5]</w:t>
            </w:r>
          </w:p>
        </w:tc>
        <w:tc>
          <w:tcPr>
            <w:tcW w:w="784" w:type="pct"/>
            <w:vAlign w:val="center"/>
          </w:tcPr>
          <w:p w14:paraId="7E15D68F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2.6 [2.2, 3.5]</w:t>
            </w:r>
          </w:p>
        </w:tc>
        <w:tc>
          <w:tcPr>
            <w:tcW w:w="801" w:type="pct"/>
            <w:vAlign w:val="center"/>
          </w:tcPr>
          <w:p w14:paraId="26D530C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1.2 [0.9, 1.5]</w:t>
            </w:r>
          </w:p>
        </w:tc>
        <w:tc>
          <w:tcPr>
            <w:tcW w:w="763" w:type="pct"/>
            <w:vAlign w:val="center"/>
          </w:tcPr>
          <w:p w14:paraId="5BBDDDE5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3.0 [2.4, 4.7]</w:t>
            </w:r>
          </w:p>
        </w:tc>
        <w:tc>
          <w:tcPr>
            <w:tcW w:w="384" w:type="pct"/>
            <w:vAlign w:val="center"/>
          </w:tcPr>
          <w:p w14:paraId="1DF68797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462F7792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77C1849D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MAP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 xml:space="preserve">, </w:t>
            </w: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median (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IQR)</w:t>
            </w:r>
          </w:p>
        </w:tc>
        <w:tc>
          <w:tcPr>
            <w:tcW w:w="649" w:type="pct"/>
            <w:vAlign w:val="center"/>
          </w:tcPr>
          <w:p w14:paraId="560984A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57.7 [50.3, 65.3]</w:t>
            </w:r>
          </w:p>
        </w:tc>
        <w:tc>
          <w:tcPr>
            <w:tcW w:w="705" w:type="pct"/>
            <w:vAlign w:val="center"/>
          </w:tcPr>
          <w:p w14:paraId="4633D49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72.3 [68.0, 78.7]</w:t>
            </w:r>
          </w:p>
        </w:tc>
        <w:tc>
          <w:tcPr>
            <w:tcW w:w="784" w:type="pct"/>
            <w:vAlign w:val="center"/>
          </w:tcPr>
          <w:p w14:paraId="4D7056D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71.7 [67.7, 78.7]</w:t>
            </w:r>
          </w:p>
        </w:tc>
        <w:tc>
          <w:tcPr>
            <w:tcW w:w="801" w:type="pct"/>
            <w:vAlign w:val="center"/>
          </w:tcPr>
          <w:p w14:paraId="69C12F3B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55.0 [49.0, 59.7]</w:t>
            </w:r>
          </w:p>
        </w:tc>
        <w:tc>
          <w:tcPr>
            <w:tcW w:w="763" w:type="pct"/>
            <w:vAlign w:val="center"/>
          </w:tcPr>
          <w:p w14:paraId="333DC732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52.7 [44.7, 58.3]</w:t>
            </w:r>
          </w:p>
        </w:tc>
        <w:tc>
          <w:tcPr>
            <w:tcW w:w="384" w:type="pct"/>
            <w:vAlign w:val="center"/>
          </w:tcPr>
          <w:p w14:paraId="640F9E0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0EA9CCCA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260AF8E1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Vasopressor use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, n (%)</w:t>
            </w:r>
          </w:p>
        </w:tc>
        <w:tc>
          <w:tcPr>
            <w:tcW w:w="649" w:type="pct"/>
            <w:vAlign w:val="center"/>
          </w:tcPr>
          <w:p w14:paraId="0DFA853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585 (5.4%)</w:t>
            </w:r>
          </w:p>
        </w:tc>
        <w:tc>
          <w:tcPr>
            <w:tcW w:w="705" w:type="pct"/>
            <w:vAlign w:val="center"/>
          </w:tcPr>
          <w:p w14:paraId="5ED64329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0 (0.0%)</w:t>
            </w:r>
          </w:p>
        </w:tc>
        <w:tc>
          <w:tcPr>
            <w:tcW w:w="784" w:type="pct"/>
            <w:vAlign w:val="center"/>
          </w:tcPr>
          <w:p w14:paraId="5CDB591B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0 (0.0%)</w:t>
            </w:r>
          </w:p>
        </w:tc>
        <w:tc>
          <w:tcPr>
            <w:tcW w:w="801" w:type="pct"/>
            <w:vAlign w:val="center"/>
          </w:tcPr>
          <w:p w14:paraId="65F63926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326 (6.5%)</w:t>
            </w:r>
          </w:p>
        </w:tc>
        <w:tc>
          <w:tcPr>
            <w:tcW w:w="763" w:type="pct"/>
            <w:vAlign w:val="center"/>
          </w:tcPr>
          <w:p w14:paraId="31FB4690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259 (8.5%)</w:t>
            </w:r>
          </w:p>
        </w:tc>
        <w:tc>
          <w:tcPr>
            <w:tcW w:w="384" w:type="pct"/>
            <w:vAlign w:val="center"/>
          </w:tcPr>
          <w:p w14:paraId="0FCEE166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4F7EBC5E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232226D8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Fluid balance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 xml:space="preserve">, </w:t>
            </w: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median (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IQR)</w:t>
            </w:r>
          </w:p>
        </w:tc>
        <w:tc>
          <w:tcPr>
            <w:tcW w:w="649" w:type="pct"/>
            <w:vAlign w:val="center"/>
          </w:tcPr>
          <w:p w14:paraId="7038EE8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50.6 [-1320.0, 4983.7]</w:t>
            </w:r>
          </w:p>
        </w:tc>
        <w:tc>
          <w:tcPr>
            <w:tcW w:w="705" w:type="pct"/>
            <w:vAlign w:val="center"/>
          </w:tcPr>
          <w:p w14:paraId="53249F5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-175.0 [-1718.0, 2800.0]</w:t>
            </w:r>
          </w:p>
        </w:tc>
        <w:tc>
          <w:tcPr>
            <w:tcW w:w="784" w:type="pct"/>
            <w:vAlign w:val="center"/>
          </w:tcPr>
          <w:p w14:paraId="3F02B4A3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136.7 [-1235.0, 4178.3]</w:t>
            </w:r>
          </w:p>
        </w:tc>
        <w:tc>
          <w:tcPr>
            <w:tcW w:w="801" w:type="pct"/>
            <w:vAlign w:val="center"/>
          </w:tcPr>
          <w:p w14:paraId="65D8A2BC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0.0 [-1524.0, 5021.5]</w:t>
            </w:r>
          </w:p>
        </w:tc>
        <w:tc>
          <w:tcPr>
            <w:tcW w:w="763" w:type="pct"/>
            <w:vAlign w:val="center"/>
          </w:tcPr>
          <w:p w14:paraId="42E7F81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874.0 [-730.0, 6742.5]</w:t>
            </w:r>
          </w:p>
        </w:tc>
        <w:tc>
          <w:tcPr>
            <w:tcW w:w="384" w:type="pct"/>
            <w:vAlign w:val="center"/>
          </w:tcPr>
          <w:p w14:paraId="58264700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0176B429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4C0D352B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sz w:val="15"/>
                <w:szCs w:val="15"/>
                <w:lang w:eastAsia="zh-CN"/>
              </w:rPr>
            </w:pPr>
            <w:r>
              <w:rPr>
                <w:rFonts w:eastAsia="宋体" w:hint="eastAsia"/>
                <w:sz w:val="15"/>
                <w:szCs w:val="15"/>
                <w:lang w:eastAsia="zh-CN"/>
              </w:rPr>
              <w:t>Renal-related variables</w:t>
            </w:r>
          </w:p>
        </w:tc>
        <w:tc>
          <w:tcPr>
            <w:tcW w:w="649" w:type="pct"/>
            <w:vAlign w:val="center"/>
          </w:tcPr>
          <w:p w14:paraId="31BD965A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05" w:type="pct"/>
            <w:vAlign w:val="center"/>
          </w:tcPr>
          <w:p w14:paraId="513DCB78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84" w:type="pct"/>
            <w:vAlign w:val="center"/>
          </w:tcPr>
          <w:p w14:paraId="4AB38D17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801" w:type="pct"/>
            <w:vAlign w:val="center"/>
          </w:tcPr>
          <w:p w14:paraId="653884AB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763" w:type="pct"/>
            <w:vAlign w:val="center"/>
          </w:tcPr>
          <w:p w14:paraId="444681B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384" w:type="pct"/>
            <w:vAlign w:val="center"/>
          </w:tcPr>
          <w:p w14:paraId="5FEC25E5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</w:p>
        </w:tc>
      </w:tr>
      <w:tr w:rsidR="003C4FBC" w:rsidRPr="00E91ADF" w14:paraId="0E08AD0C" w14:textId="77777777" w:rsidTr="000F326E">
        <w:trPr>
          <w:trHeight w:val="227"/>
        </w:trPr>
        <w:tc>
          <w:tcPr>
            <w:tcW w:w="914" w:type="pct"/>
            <w:vAlign w:val="center"/>
          </w:tcPr>
          <w:p w14:paraId="41EA46EF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Creatinine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 xml:space="preserve">, </w:t>
            </w: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median (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IQR)</w:t>
            </w:r>
          </w:p>
        </w:tc>
        <w:tc>
          <w:tcPr>
            <w:tcW w:w="649" w:type="pct"/>
            <w:vAlign w:val="center"/>
          </w:tcPr>
          <w:p w14:paraId="53B027F3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1.3 [0.8, 2.2]</w:t>
            </w:r>
          </w:p>
        </w:tc>
        <w:tc>
          <w:tcPr>
            <w:tcW w:w="705" w:type="pct"/>
            <w:vAlign w:val="center"/>
          </w:tcPr>
          <w:p w14:paraId="27F97483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1.0 [0.7, 1.6]</w:t>
            </w:r>
          </w:p>
        </w:tc>
        <w:tc>
          <w:tcPr>
            <w:tcW w:w="784" w:type="pct"/>
            <w:vAlign w:val="center"/>
          </w:tcPr>
          <w:p w14:paraId="27F79A43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1.2 [0.8, 1.9]</w:t>
            </w:r>
          </w:p>
        </w:tc>
        <w:tc>
          <w:tcPr>
            <w:tcW w:w="801" w:type="pct"/>
            <w:vAlign w:val="center"/>
          </w:tcPr>
          <w:p w14:paraId="60E5B98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1.2 [0.8, 2.1]</w:t>
            </w:r>
          </w:p>
        </w:tc>
        <w:tc>
          <w:tcPr>
            <w:tcW w:w="763" w:type="pct"/>
            <w:vAlign w:val="center"/>
          </w:tcPr>
          <w:p w14:paraId="680C65C8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1.7 [1.1, 2.6]</w:t>
            </w:r>
          </w:p>
        </w:tc>
        <w:tc>
          <w:tcPr>
            <w:tcW w:w="384" w:type="pct"/>
            <w:vAlign w:val="center"/>
          </w:tcPr>
          <w:p w14:paraId="3EA9AAC2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3C4FBC" w:rsidRPr="00E91ADF" w14:paraId="5F927ACD" w14:textId="77777777" w:rsidTr="000F326E">
        <w:trPr>
          <w:trHeight w:val="227"/>
        </w:trPr>
        <w:tc>
          <w:tcPr>
            <w:tcW w:w="914" w:type="pct"/>
            <w:tcBorders>
              <w:bottom w:val="single" w:sz="12" w:space="0" w:color="auto"/>
            </w:tcBorders>
            <w:vAlign w:val="center"/>
          </w:tcPr>
          <w:p w14:paraId="7DE34D4B" w14:textId="77777777" w:rsidR="003C4FBC" w:rsidRPr="00E91ADF" w:rsidRDefault="003C4FBC" w:rsidP="003C4FBC">
            <w:pPr>
              <w:pStyle w:val="HeadingCustom1"/>
              <w:snapToGrid w:val="0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BUN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 xml:space="preserve">, </w:t>
            </w: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median (</w:t>
            </w:r>
            <w:r>
              <w:rPr>
                <w:rFonts w:eastAsia="宋体" w:hint="eastAsia"/>
                <w:b w:val="0"/>
                <w:bCs/>
                <w:sz w:val="15"/>
                <w:szCs w:val="15"/>
                <w:lang w:eastAsia="zh-CN"/>
              </w:rPr>
              <w:t>IQR)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4192F55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27.0 [16.0, 43.0]</w:t>
            </w:r>
          </w:p>
        </w:tc>
        <w:tc>
          <w:tcPr>
            <w:tcW w:w="705" w:type="pct"/>
            <w:tcBorders>
              <w:bottom w:val="single" w:sz="12" w:space="0" w:color="auto"/>
            </w:tcBorders>
            <w:vAlign w:val="center"/>
          </w:tcPr>
          <w:p w14:paraId="253997BD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21.0 [13.0, 33.0]</w:t>
            </w:r>
          </w:p>
        </w:tc>
        <w:tc>
          <w:tcPr>
            <w:tcW w:w="784" w:type="pct"/>
            <w:tcBorders>
              <w:bottom w:val="single" w:sz="12" w:space="0" w:color="auto"/>
            </w:tcBorders>
            <w:vAlign w:val="center"/>
          </w:tcPr>
          <w:p w14:paraId="2D7EE88E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26.0 [16.0, 40.0]</w:t>
            </w:r>
          </w:p>
        </w:tc>
        <w:tc>
          <w:tcPr>
            <w:tcW w:w="801" w:type="pct"/>
            <w:tcBorders>
              <w:bottom w:val="single" w:sz="12" w:space="0" w:color="auto"/>
            </w:tcBorders>
            <w:vAlign w:val="center"/>
          </w:tcPr>
          <w:p w14:paraId="78AC6095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26.0 [16.0, 43.0]</w:t>
            </w:r>
          </w:p>
        </w:tc>
        <w:tc>
          <w:tcPr>
            <w:tcW w:w="763" w:type="pct"/>
            <w:tcBorders>
              <w:bottom w:val="single" w:sz="12" w:space="0" w:color="auto"/>
            </w:tcBorders>
            <w:vAlign w:val="center"/>
          </w:tcPr>
          <w:p w14:paraId="08021B89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32.0 [21.0, 48.0]</w:t>
            </w:r>
          </w:p>
        </w:tc>
        <w:tc>
          <w:tcPr>
            <w:tcW w:w="384" w:type="pct"/>
            <w:tcBorders>
              <w:bottom w:val="single" w:sz="12" w:space="0" w:color="auto"/>
            </w:tcBorders>
            <w:vAlign w:val="center"/>
          </w:tcPr>
          <w:p w14:paraId="53E6FD5B" w14:textId="77777777" w:rsidR="003C4FBC" w:rsidRPr="00E91ADF" w:rsidRDefault="003C4FBC" w:rsidP="003C4FBC">
            <w:pPr>
              <w:pStyle w:val="HeadingCustom1"/>
              <w:snapToGrid w:val="0"/>
              <w:jc w:val="center"/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</w:pPr>
            <w:r>
              <w:rPr>
                <w:rFonts w:eastAsia="宋体"/>
                <w:b w:val="0"/>
                <w:bCs/>
                <w:sz w:val="15"/>
                <w:szCs w:val="15"/>
                <w:lang w:eastAsia="zh-CN"/>
              </w:rPr>
              <w:t>&lt;0.001</w:t>
            </w:r>
          </w:p>
        </w:tc>
      </w:tr>
    </w:tbl>
    <w:p w14:paraId="117DF626" w14:textId="77777777" w:rsidR="007D154A" w:rsidRDefault="00E91ADF" w:rsidP="000422F4">
      <w:pPr>
        <w:snapToGrid w:val="0"/>
        <w:rPr>
          <w:rFonts w:ascii="Times New Roman" w:hAnsi="Times New Roman"/>
          <w:sz w:val="24"/>
        </w:rPr>
        <w:sectPr w:rsidR="007D154A" w:rsidSect="001616E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hint="eastAsia"/>
          <w:sz w:val="24"/>
        </w:rPr>
        <w:lastRenderedPageBreak/>
        <w:t>Continuous variables are presented as median [interquartile range], and categorical variables are presented as n (%). P values were calculated using appropriate tests for between-group comparisons.</w:t>
      </w:r>
      <w:r>
        <w:rPr>
          <w:rFonts w:hint="eastAsia"/>
        </w:rPr>
        <w:t xml:space="preserve"> </w:t>
      </w:r>
      <w:r>
        <w:rPr>
          <w:rFonts w:ascii="Times New Roman" w:hAnsi="Times New Roman" w:hint="eastAsia"/>
          <w:sz w:val="24"/>
        </w:rPr>
        <w:t>IQR, interquartile range; SOFA, Sequential Organ Failure Assessment; ICU LOS, intensive care unit length of stay; Hospital LOS, hospital length of stay; MAP, mean arterial pressure; BUN, blood urea nitrogen.</w:t>
      </w:r>
    </w:p>
    <w:p w14:paraId="2858C3F5" w14:textId="77777777" w:rsidR="007D154A" w:rsidRDefault="007D154A" w:rsidP="007D154A">
      <w:pPr>
        <w:snapToGri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lastRenderedPageBreak/>
        <w:t>Table S2. Multivariable Logistic Regression Analyses for Clinical Outcomes</w:t>
      </w:r>
    </w:p>
    <w:tbl>
      <w:tblPr>
        <w:tblStyle w:val="51"/>
        <w:tblpPr w:leftFromText="180" w:rightFromText="180" w:vertAnchor="text" w:horzAnchor="margin" w:tblpY="7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2906"/>
        <w:gridCol w:w="2069"/>
        <w:gridCol w:w="907"/>
        <w:gridCol w:w="2069"/>
        <w:gridCol w:w="907"/>
        <w:gridCol w:w="1845"/>
        <w:gridCol w:w="902"/>
      </w:tblGrid>
      <w:tr w:rsidR="007D154A" w:rsidRPr="004B39E5" w14:paraId="69E3FC12" w14:textId="77777777" w:rsidTr="00020D0C">
        <w:trPr>
          <w:cantSplit/>
          <w:trHeight w:val="283"/>
        </w:trPr>
        <w:tc>
          <w:tcPr>
            <w:tcW w:w="843" w:type="pct"/>
            <w:vMerge w:val="restart"/>
            <w:tcBorders>
              <w:top w:val="single" w:sz="12" w:space="0" w:color="auto"/>
            </w:tcBorders>
            <w:vAlign w:val="center"/>
          </w:tcPr>
          <w:p w14:paraId="706251A9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>Outcome</w:t>
            </w:r>
          </w:p>
        </w:tc>
        <w:tc>
          <w:tcPr>
            <w:tcW w:w="1041" w:type="pct"/>
            <w:vMerge w:val="restart"/>
            <w:tcBorders>
              <w:top w:val="single" w:sz="12" w:space="0" w:color="auto"/>
            </w:tcBorders>
            <w:vAlign w:val="center"/>
          </w:tcPr>
          <w:p w14:paraId="06E3C16D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Phenotype</w:t>
            </w:r>
          </w:p>
        </w:tc>
        <w:tc>
          <w:tcPr>
            <w:tcW w:w="1066" w:type="pct"/>
            <w:gridSpan w:val="2"/>
            <w:tcBorders>
              <w:top w:val="single" w:sz="12" w:space="0" w:color="auto"/>
            </w:tcBorders>
            <w:vAlign w:val="center"/>
          </w:tcPr>
          <w:p w14:paraId="6A801DFB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</w:t>
            </w:r>
            <w:r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>del 1</w:t>
            </w:r>
          </w:p>
        </w:tc>
        <w:tc>
          <w:tcPr>
            <w:tcW w:w="1066" w:type="pct"/>
            <w:gridSpan w:val="2"/>
            <w:tcBorders>
              <w:top w:val="single" w:sz="12" w:space="0" w:color="auto"/>
            </w:tcBorders>
            <w:vAlign w:val="center"/>
          </w:tcPr>
          <w:p w14:paraId="500B068A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>Model 2</w:t>
            </w:r>
          </w:p>
        </w:tc>
        <w:tc>
          <w:tcPr>
            <w:tcW w:w="984" w:type="pct"/>
            <w:gridSpan w:val="2"/>
            <w:tcBorders>
              <w:top w:val="single" w:sz="12" w:space="0" w:color="auto"/>
            </w:tcBorders>
            <w:vAlign w:val="center"/>
          </w:tcPr>
          <w:p w14:paraId="5206CC99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>Model 3</w:t>
            </w:r>
          </w:p>
        </w:tc>
      </w:tr>
      <w:tr w:rsidR="007D154A" w:rsidRPr="004B39E5" w14:paraId="298A48D2" w14:textId="77777777" w:rsidTr="00020D0C">
        <w:trPr>
          <w:cantSplit/>
          <w:trHeight w:val="283"/>
        </w:trPr>
        <w:tc>
          <w:tcPr>
            <w:tcW w:w="843" w:type="pct"/>
            <w:vMerge/>
            <w:tcBorders>
              <w:bottom w:val="single" w:sz="8" w:space="0" w:color="auto"/>
            </w:tcBorders>
            <w:vAlign w:val="center"/>
          </w:tcPr>
          <w:p w14:paraId="6A4A2D5B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Merge/>
            <w:tcBorders>
              <w:bottom w:val="single" w:sz="8" w:space="0" w:color="auto"/>
            </w:tcBorders>
            <w:vAlign w:val="center"/>
          </w:tcPr>
          <w:p w14:paraId="3ABAEEB3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41" w:type="pct"/>
            <w:tcBorders>
              <w:bottom w:val="single" w:sz="8" w:space="0" w:color="auto"/>
            </w:tcBorders>
            <w:vAlign w:val="center"/>
          </w:tcPr>
          <w:p w14:paraId="30641F6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OR (95% CI)</w:t>
            </w:r>
          </w:p>
        </w:tc>
        <w:tc>
          <w:tcPr>
            <w:tcW w:w="325" w:type="pct"/>
            <w:tcBorders>
              <w:bottom w:val="single" w:sz="8" w:space="0" w:color="auto"/>
            </w:tcBorders>
            <w:vAlign w:val="center"/>
          </w:tcPr>
          <w:p w14:paraId="0C163646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P value</w:t>
            </w:r>
          </w:p>
        </w:tc>
        <w:tc>
          <w:tcPr>
            <w:tcW w:w="741" w:type="pct"/>
            <w:tcBorders>
              <w:bottom w:val="single" w:sz="8" w:space="0" w:color="auto"/>
            </w:tcBorders>
            <w:vAlign w:val="center"/>
          </w:tcPr>
          <w:p w14:paraId="4B2CCC35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OR (95% CI)</w:t>
            </w:r>
          </w:p>
        </w:tc>
        <w:tc>
          <w:tcPr>
            <w:tcW w:w="325" w:type="pct"/>
            <w:tcBorders>
              <w:bottom w:val="single" w:sz="8" w:space="0" w:color="auto"/>
            </w:tcBorders>
            <w:vAlign w:val="center"/>
          </w:tcPr>
          <w:p w14:paraId="10A2F09D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P value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vAlign w:val="center"/>
          </w:tcPr>
          <w:p w14:paraId="55F564F7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OR (95% CI)</w:t>
            </w:r>
          </w:p>
        </w:tc>
        <w:tc>
          <w:tcPr>
            <w:tcW w:w="323" w:type="pct"/>
            <w:tcBorders>
              <w:bottom w:val="single" w:sz="8" w:space="0" w:color="auto"/>
            </w:tcBorders>
            <w:vAlign w:val="center"/>
          </w:tcPr>
          <w:p w14:paraId="422F3ED5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P value</w:t>
            </w:r>
          </w:p>
        </w:tc>
      </w:tr>
      <w:tr w:rsidR="007D154A" w:rsidRPr="00334961" w14:paraId="353CBFCF" w14:textId="77777777" w:rsidTr="00020D0C">
        <w:trPr>
          <w:cantSplit/>
          <w:trHeight w:val="283"/>
        </w:trPr>
        <w:tc>
          <w:tcPr>
            <w:tcW w:w="843" w:type="pct"/>
            <w:tcBorders>
              <w:top w:val="single" w:sz="8" w:space="0" w:color="auto"/>
            </w:tcBorders>
            <w:vAlign w:val="center"/>
          </w:tcPr>
          <w:p w14:paraId="39187928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5"/>
                <w:szCs w:val="15"/>
                <w:lang w:eastAsia="zh-CN"/>
              </w:rPr>
              <w:t>MIMIC</w:t>
            </w:r>
          </w:p>
        </w:tc>
        <w:tc>
          <w:tcPr>
            <w:tcW w:w="1041" w:type="pct"/>
            <w:tcBorders>
              <w:top w:val="single" w:sz="8" w:space="0" w:color="auto"/>
            </w:tcBorders>
            <w:vAlign w:val="center"/>
          </w:tcPr>
          <w:p w14:paraId="7AECB757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41" w:type="pct"/>
            <w:tcBorders>
              <w:top w:val="single" w:sz="8" w:space="0" w:color="auto"/>
            </w:tcBorders>
            <w:vAlign w:val="center"/>
          </w:tcPr>
          <w:p w14:paraId="66426D34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single" w:sz="8" w:space="0" w:color="auto"/>
            </w:tcBorders>
            <w:vAlign w:val="center"/>
          </w:tcPr>
          <w:p w14:paraId="1D64539C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41" w:type="pct"/>
            <w:tcBorders>
              <w:top w:val="single" w:sz="8" w:space="0" w:color="auto"/>
            </w:tcBorders>
            <w:vAlign w:val="center"/>
          </w:tcPr>
          <w:p w14:paraId="2CE85AD8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single" w:sz="8" w:space="0" w:color="auto"/>
            </w:tcBorders>
            <w:vAlign w:val="center"/>
          </w:tcPr>
          <w:p w14:paraId="68F1DBC5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661" w:type="pct"/>
            <w:tcBorders>
              <w:top w:val="single" w:sz="8" w:space="0" w:color="auto"/>
            </w:tcBorders>
            <w:vAlign w:val="center"/>
          </w:tcPr>
          <w:p w14:paraId="21890376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23" w:type="pct"/>
            <w:tcBorders>
              <w:top w:val="single" w:sz="8" w:space="0" w:color="auto"/>
            </w:tcBorders>
            <w:vAlign w:val="center"/>
          </w:tcPr>
          <w:p w14:paraId="2056991D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</w:tr>
      <w:tr w:rsidR="007D154A" w:rsidRPr="004B39E5" w14:paraId="169502B0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76972C9B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28-day mortality</w:t>
            </w:r>
          </w:p>
        </w:tc>
        <w:tc>
          <w:tcPr>
            <w:tcW w:w="1041" w:type="pct"/>
            <w:vAlign w:val="center"/>
          </w:tcPr>
          <w:p w14:paraId="2097304B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Reference</w:t>
            </w:r>
          </w:p>
        </w:tc>
        <w:tc>
          <w:tcPr>
            <w:tcW w:w="741" w:type="pct"/>
            <w:vAlign w:val="center"/>
          </w:tcPr>
          <w:p w14:paraId="63247BFE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09B5BBCF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41" w:type="pct"/>
            <w:vAlign w:val="center"/>
          </w:tcPr>
          <w:p w14:paraId="1BF2A355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4670B105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661" w:type="pct"/>
            <w:vAlign w:val="center"/>
          </w:tcPr>
          <w:p w14:paraId="6C43EF0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1.00 (Reference)</w:t>
            </w:r>
          </w:p>
        </w:tc>
        <w:tc>
          <w:tcPr>
            <w:tcW w:w="323" w:type="pct"/>
            <w:vAlign w:val="center"/>
          </w:tcPr>
          <w:p w14:paraId="05367E39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</w:tr>
      <w:tr w:rsidR="007D154A" w:rsidRPr="004B39E5" w14:paraId="67DEBC35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6D94D355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017C42F8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Isolated hyperlactatemia</w:t>
            </w:r>
          </w:p>
        </w:tc>
        <w:tc>
          <w:tcPr>
            <w:tcW w:w="741" w:type="pct"/>
            <w:vAlign w:val="center"/>
          </w:tcPr>
          <w:p w14:paraId="1721C48A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2.39 (1.68–3.40)</w:t>
            </w:r>
          </w:p>
        </w:tc>
        <w:tc>
          <w:tcPr>
            <w:tcW w:w="325" w:type="pct"/>
            <w:vAlign w:val="center"/>
          </w:tcPr>
          <w:p w14:paraId="057DAE91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741" w:type="pct"/>
            <w:vAlign w:val="center"/>
          </w:tcPr>
          <w:p w14:paraId="419E93C8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2.37 (1.66–3.38)</w:t>
            </w:r>
          </w:p>
        </w:tc>
        <w:tc>
          <w:tcPr>
            <w:tcW w:w="325" w:type="pct"/>
            <w:vAlign w:val="center"/>
          </w:tcPr>
          <w:p w14:paraId="7B982A18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661" w:type="pct"/>
            <w:vAlign w:val="center"/>
          </w:tcPr>
          <w:p w14:paraId="1793D95A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2.45 (1.70–3.52)</w:t>
            </w:r>
          </w:p>
        </w:tc>
        <w:tc>
          <w:tcPr>
            <w:tcW w:w="323" w:type="pct"/>
            <w:vAlign w:val="center"/>
          </w:tcPr>
          <w:p w14:paraId="1E060446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</w:tr>
      <w:tr w:rsidR="007D154A" w:rsidRPr="004B39E5" w14:paraId="13BC01D0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66E721BB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4C05F307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Hemodynamic hypoperfusion</w:t>
            </w:r>
          </w:p>
        </w:tc>
        <w:tc>
          <w:tcPr>
            <w:tcW w:w="741" w:type="pct"/>
            <w:vAlign w:val="center"/>
          </w:tcPr>
          <w:p w14:paraId="1B492332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2.53 (2.05–3.12)</w:t>
            </w:r>
          </w:p>
        </w:tc>
        <w:tc>
          <w:tcPr>
            <w:tcW w:w="325" w:type="pct"/>
            <w:vAlign w:val="center"/>
          </w:tcPr>
          <w:p w14:paraId="5FD7EBD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741" w:type="pct"/>
            <w:vAlign w:val="center"/>
          </w:tcPr>
          <w:p w14:paraId="798047B0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2.20 (1.78–2.72)</w:t>
            </w:r>
          </w:p>
        </w:tc>
        <w:tc>
          <w:tcPr>
            <w:tcW w:w="325" w:type="pct"/>
            <w:vAlign w:val="center"/>
          </w:tcPr>
          <w:p w14:paraId="494B12F0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661" w:type="pct"/>
            <w:vAlign w:val="center"/>
          </w:tcPr>
          <w:p w14:paraId="60225F85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1.67 (1.34–2.07)</w:t>
            </w:r>
          </w:p>
        </w:tc>
        <w:tc>
          <w:tcPr>
            <w:tcW w:w="323" w:type="pct"/>
            <w:vAlign w:val="center"/>
          </w:tcPr>
          <w:p w14:paraId="21B76575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</w:tr>
      <w:tr w:rsidR="007D154A" w:rsidRPr="004B39E5" w14:paraId="244F1F67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2E9E46E7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0912EA8E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Combined hypoperfusion</w:t>
            </w:r>
          </w:p>
        </w:tc>
        <w:tc>
          <w:tcPr>
            <w:tcW w:w="741" w:type="pct"/>
            <w:vAlign w:val="center"/>
          </w:tcPr>
          <w:p w14:paraId="35BD0CDF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3.98 (3.19–4.95)</w:t>
            </w:r>
          </w:p>
        </w:tc>
        <w:tc>
          <w:tcPr>
            <w:tcW w:w="325" w:type="pct"/>
            <w:vAlign w:val="center"/>
          </w:tcPr>
          <w:p w14:paraId="30A3A533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741" w:type="pct"/>
            <w:vAlign w:val="center"/>
          </w:tcPr>
          <w:p w14:paraId="1105555F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 w:hint="eastAsia"/>
                <w:color w:val="000000"/>
                <w:sz w:val="15"/>
                <w:szCs w:val="15"/>
              </w:rPr>
              <w:t>3.38 (2.71–4.21)</w:t>
            </w:r>
          </w:p>
        </w:tc>
        <w:tc>
          <w:tcPr>
            <w:tcW w:w="325" w:type="pct"/>
            <w:vAlign w:val="center"/>
          </w:tcPr>
          <w:p w14:paraId="14A8C7B3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661" w:type="pct"/>
            <w:vAlign w:val="center"/>
          </w:tcPr>
          <w:p w14:paraId="2A01DB9F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2.10 (1.66–2.64)</w:t>
            </w:r>
          </w:p>
        </w:tc>
        <w:tc>
          <w:tcPr>
            <w:tcW w:w="323" w:type="pct"/>
            <w:vAlign w:val="center"/>
          </w:tcPr>
          <w:p w14:paraId="24532214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</w:tr>
      <w:tr w:rsidR="007D154A" w:rsidRPr="004B39E5" w14:paraId="21BC3FD4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0A74667F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ICU mortality</w:t>
            </w:r>
          </w:p>
        </w:tc>
        <w:tc>
          <w:tcPr>
            <w:tcW w:w="1041" w:type="pct"/>
            <w:vAlign w:val="center"/>
          </w:tcPr>
          <w:p w14:paraId="2E8CD2D4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Reference</w:t>
            </w:r>
          </w:p>
        </w:tc>
        <w:tc>
          <w:tcPr>
            <w:tcW w:w="741" w:type="pct"/>
            <w:vAlign w:val="center"/>
          </w:tcPr>
          <w:p w14:paraId="6B80EDC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4C2FA2B2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41" w:type="pct"/>
            <w:vAlign w:val="center"/>
          </w:tcPr>
          <w:p w14:paraId="5A815C9B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2FCA8D43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661" w:type="pct"/>
            <w:vAlign w:val="center"/>
          </w:tcPr>
          <w:p w14:paraId="089A0CD9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1.00 (Reference)</w:t>
            </w:r>
          </w:p>
        </w:tc>
        <w:tc>
          <w:tcPr>
            <w:tcW w:w="323" w:type="pct"/>
            <w:vAlign w:val="center"/>
          </w:tcPr>
          <w:p w14:paraId="18EB9B94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</w:tr>
      <w:tr w:rsidR="007D154A" w:rsidRPr="004B39E5" w14:paraId="1566D5D6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4DE9714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0FAC3CD1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Isolated hyperlactatemia</w:t>
            </w:r>
          </w:p>
        </w:tc>
        <w:tc>
          <w:tcPr>
            <w:tcW w:w="741" w:type="pct"/>
            <w:vAlign w:val="center"/>
          </w:tcPr>
          <w:p w14:paraId="5DA5C6F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2.71 (1.38–5.31)</w:t>
            </w:r>
          </w:p>
        </w:tc>
        <w:tc>
          <w:tcPr>
            <w:tcW w:w="325" w:type="pct"/>
            <w:vAlign w:val="center"/>
          </w:tcPr>
          <w:p w14:paraId="3BCFA011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0.004</w:t>
            </w:r>
          </w:p>
        </w:tc>
        <w:tc>
          <w:tcPr>
            <w:tcW w:w="741" w:type="pct"/>
            <w:vAlign w:val="center"/>
          </w:tcPr>
          <w:p w14:paraId="273C82F2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2.69 (1.37–5.28)</w:t>
            </w:r>
          </w:p>
        </w:tc>
        <w:tc>
          <w:tcPr>
            <w:tcW w:w="325" w:type="pct"/>
            <w:vAlign w:val="center"/>
          </w:tcPr>
          <w:p w14:paraId="57783E6D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0.004</w:t>
            </w:r>
          </w:p>
        </w:tc>
        <w:tc>
          <w:tcPr>
            <w:tcW w:w="661" w:type="pct"/>
            <w:vAlign w:val="center"/>
          </w:tcPr>
          <w:p w14:paraId="3AFFC47F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2.65 (1.32–5.34)</w:t>
            </w:r>
          </w:p>
        </w:tc>
        <w:tc>
          <w:tcPr>
            <w:tcW w:w="323" w:type="pct"/>
            <w:vAlign w:val="center"/>
          </w:tcPr>
          <w:p w14:paraId="0122215E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0.00</w:t>
            </w:r>
            <w:r>
              <w:rPr>
                <w:rFonts w:ascii="Times New Roman" w:eastAsia="宋体" w:hAnsi="Times New Roman" w:cs="Times New Roman" w:hint="eastAsia"/>
                <w:bCs/>
                <w:sz w:val="15"/>
                <w:szCs w:val="15"/>
              </w:rPr>
              <w:t>6</w:t>
            </w:r>
          </w:p>
        </w:tc>
      </w:tr>
      <w:tr w:rsidR="007D154A" w:rsidRPr="004B39E5" w14:paraId="0F1380B5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25263F8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4760A3CE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Hemodynamic hypoperfusion</w:t>
            </w:r>
          </w:p>
        </w:tc>
        <w:tc>
          <w:tcPr>
            <w:tcW w:w="741" w:type="pct"/>
            <w:vAlign w:val="center"/>
          </w:tcPr>
          <w:p w14:paraId="6178F209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7.89 (5.11–12.17)</w:t>
            </w:r>
          </w:p>
        </w:tc>
        <w:tc>
          <w:tcPr>
            <w:tcW w:w="325" w:type="pct"/>
            <w:vAlign w:val="center"/>
          </w:tcPr>
          <w:p w14:paraId="77EA1D7B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741" w:type="pct"/>
            <w:vAlign w:val="center"/>
          </w:tcPr>
          <w:p w14:paraId="6B79EC32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7.39 (4.78–11.41)</w:t>
            </w:r>
          </w:p>
        </w:tc>
        <w:tc>
          <w:tcPr>
            <w:tcW w:w="325" w:type="pct"/>
            <w:vAlign w:val="center"/>
          </w:tcPr>
          <w:p w14:paraId="3F672563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661" w:type="pct"/>
            <w:vAlign w:val="center"/>
          </w:tcPr>
          <w:p w14:paraId="73121E1B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4.32 (2.77–6.73)</w:t>
            </w:r>
          </w:p>
        </w:tc>
        <w:tc>
          <w:tcPr>
            <w:tcW w:w="323" w:type="pct"/>
            <w:vAlign w:val="center"/>
          </w:tcPr>
          <w:p w14:paraId="1919D52B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</w:tr>
      <w:tr w:rsidR="007D154A" w:rsidRPr="004B39E5" w14:paraId="6E5EC4AD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7A3D4810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1C028361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Combined hypoperfusion</w:t>
            </w:r>
          </w:p>
        </w:tc>
        <w:tc>
          <w:tcPr>
            <w:tcW w:w="741" w:type="pct"/>
            <w:vAlign w:val="center"/>
          </w:tcPr>
          <w:p w14:paraId="2776D391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17.03 (10.99–26.40)</w:t>
            </w:r>
          </w:p>
        </w:tc>
        <w:tc>
          <w:tcPr>
            <w:tcW w:w="325" w:type="pct"/>
            <w:vAlign w:val="center"/>
          </w:tcPr>
          <w:p w14:paraId="149F256A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741" w:type="pct"/>
            <w:vAlign w:val="center"/>
          </w:tcPr>
          <w:p w14:paraId="386B0EC7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15.79 (10.18–24.50)</w:t>
            </w:r>
          </w:p>
        </w:tc>
        <w:tc>
          <w:tcPr>
            <w:tcW w:w="325" w:type="pct"/>
            <w:vAlign w:val="center"/>
          </w:tcPr>
          <w:p w14:paraId="7E22B5C4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661" w:type="pct"/>
            <w:vAlign w:val="center"/>
          </w:tcPr>
          <w:p w14:paraId="14A4195D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7.02 (4.48–11.02)</w:t>
            </w:r>
          </w:p>
        </w:tc>
        <w:tc>
          <w:tcPr>
            <w:tcW w:w="323" w:type="pct"/>
            <w:vAlign w:val="center"/>
          </w:tcPr>
          <w:p w14:paraId="766DD3AF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</w:tr>
      <w:tr w:rsidR="007D154A" w:rsidRPr="004B39E5" w14:paraId="2712CE61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44AC1476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Hospital mortality</w:t>
            </w:r>
          </w:p>
        </w:tc>
        <w:tc>
          <w:tcPr>
            <w:tcW w:w="1041" w:type="pct"/>
            <w:vAlign w:val="center"/>
          </w:tcPr>
          <w:p w14:paraId="1899D733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Reference</w:t>
            </w:r>
          </w:p>
        </w:tc>
        <w:tc>
          <w:tcPr>
            <w:tcW w:w="741" w:type="pct"/>
            <w:vAlign w:val="center"/>
          </w:tcPr>
          <w:p w14:paraId="60E17B52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4544D0AE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41" w:type="pct"/>
            <w:vAlign w:val="center"/>
          </w:tcPr>
          <w:p w14:paraId="7C067F85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20570921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661" w:type="pct"/>
            <w:vAlign w:val="center"/>
          </w:tcPr>
          <w:p w14:paraId="4605FB8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1.00 (Reference)</w:t>
            </w:r>
          </w:p>
        </w:tc>
        <w:tc>
          <w:tcPr>
            <w:tcW w:w="323" w:type="pct"/>
            <w:vAlign w:val="center"/>
          </w:tcPr>
          <w:p w14:paraId="6E900B6A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</w:tr>
      <w:tr w:rsidR="007D154A" w:rsidRPr="004B39E5" w14:paraId="6E856DAF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1784363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46214ADA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Isolated hyperlactatemia</w:t>
            </w:r>
          </w:p>
        </w:tc>
        <w:tc>
          <w:tcPr>
            <w:tcW w:w="741" w:type="pct"/>
            <w:vAlign w:val="center"/>
          </w:tcPr>
          <w:p w14:paraId="064169B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2.64 (1.79–3.91)</w:t>
            </w:r>
          </w:p>
        </w:tc>
        <w:tc>
          <w:tcPr>
            <w:tcW w:w="325" w:type="pct"/>
            <w:vAlign w:val="center"/>
          </w:tcPr>
          <w:p w14:paraId="1682114A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741" w:type="pct"/>
            <w:vAlign w:val="center"/>
          </w:tcPr>
          <w:p w14:paraId="16DDFC02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2.62 (1.77–3.88)</w:t>
            </w:r>
          </w:p>
        </w:tc>
        <w:tc>
          <w:tcPr>
            <w:tcW w:w="325" w:type="pct"/>
            <w:vAlign w:val="center"/>
          </w:tcPr>
          <w:p w14:paraId="5D198E13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661" w:type="pct"/>
            <w:vAlign w:val="center"/>
          </w:tcPr>
          <w:p w14:paraId="386C5555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2.80 (1.86–4.22)</w:t>
            </w:r>
          </w:p>
        </w:tc>
        <w:tc>
          <w:tcPr>
            <w:tcW w:w="323" w:type="pct"/>
            <w:vAlign w:val="center"/>
          </w:tcPr>
          <w:p w14:paraId="2F125CF8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</w:tr>
      <w:tr w:rsidR="007D154A" w:rsidRPr="004B39E5" w14:paraId="13C55802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0FCDB961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624D79CE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Hemodynamic hypoperfusion</w:t>
            </w:r>
          </w:p>
        </w:tc>
        <w:tc>
          <w:tcPr>
            <w:tcW w:w="741" w:type="pct"/>
            <w:vAlign w:val="center"/>
          </w:tcPr>
          <w:p w14:paraId="5146BD2F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3.20 (2.51–4.08)</w:t>
            </w:r>
          </w:p>
        </w:tc>
        <w:tc>
          <w:tcPr>
            <w:tcW w:w="325" w:type="pct"/>
            <w:vAlign w:val="center"/>
          </w:tcPr>
          <w:p w14:paraId="21D49CC0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741" w:type="pct"/>
            <w:vAlign w:val="center"/>
          </w:tcPr>
          <w:p w14:paraId="748E4212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2.90 (2.27–3.70)</w:t>
            </w:r>
          </w:p>
        </w:tc>
        <w:tc>
          <w:tcPr>
            <w:tcW w:w="325" w:type="pct"/>
            <w:vAlign w:val="center"/>
          </w:tcPr>
          <w:p w14:paraId="1089A1F4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661" w:type="pct"/>
            <w:vAlign w:val="center"/>
          </w:tcPr>
          <w:p w14:paraId="0B16D966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1.93 (1.50–2.48)</w:t>
            </w:r>
          </w:p>
        </w:tc>
        <w:tc>
          <w:tcPr>
            <w:tcW w:w="323" w:type="pct"/>
            <w:vAlign w:val="center"/>
          </w:tcPr>
          <w:p w14:paraId="069EC3AC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</w:tr>
      <w:tr w:rsidR="007D154A" w:rsidRPr="004B39E5" w14:paraId="2150017C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14CDF2E3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3BEB9DBF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Combined hypoperfusion</w:t>
            </w:r>
          </w:p>
        </w:tc>
        <w:tc>
          <w:tcPr>
            <w:tcW w:w="741" w:type="pct"/>
            <w:vAlign w:val="center"/>
          </w:tcPr>
          <w:p w14:paraId="590F7377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6.61 (5.16–8.48)</w:t>
            </w:r>
          </w:p>
        </w:tc>
        <w:tc>
          <w:tcPr>
            <w:tcW w:w="325" w:type="pct"/>
            <w:vAlign w:val="center"/>
          </w:tcPr>
          <w:p w14:paraId="40CD7638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741" w:type="pct"/>
            <w:vAlign w:val="center"/>
          </w:tcPr>
          <w:p w14:paraId="253D21F4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5.91 (4.61–7.59)</w:t>
            </w:r>
          </w:p>
        </w:tc>
        <w:tc>
          <w:tcPr>
            <w:tcW w:w="325" w:type="pct"/>
            <w:vAlign w:val="center"/>
          </w:tcPr>
          <w:p w14:paraId="354C5ECA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  <w:tc>
          <w:tcPr>
            <w:tcW w:w="661" w:type="pct"/>
            <w:vAlign w:val="center"/>
          </w:tcPr>
          <w:p w14:paraId="4DDD3A5B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3.16 (2.43–4.10)</w:t>
            </w:r>
          </w:p>
        </w:tc>
        <w:tc>
          <w:tcPr>
            <w:tcW w:w="323" w:type="pct"/>
            <w:vAlign w:val="center"/>
          </w:tcPr>
          <w:p w14:paraId="3B14A022" w14:textId="77777777" w:rsidR="007D154A" w:rsidRPr="004B39E5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</w:rPr>
              <w:t>&lt;0.001</w:t>
            </w:r>
          </w:p>
        </w:tc>
      </w:tr>
      <w:tr w:rsidR="007D154A" w:rsidRPr="00334961" w14:paraId="16683097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1555B051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sz w:val="15"/>
                <w:szCs w:val="15"/>
                <w:lang w:eastAsia="zh-CN"/>
              </w:rPr>
              <w:t>eICU</w:t>
            </w:r>
          </w:p>
        </w:tc>
        <w:tc>
          <w:tcPr>
            <w:tcW w:w="1041" w:type="pct"/>
            <w:vAlign w:val="center"/>
          </w:tcPr>
          <w:p w14:paraId="1359C4BB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41" w:type="pct"/>
            <w:vAlign w:val="center"/>
          </w:tcPr>
          <w:p w14:paraId="75DD0156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25" w:type="pct"/>
            <w:vAlign w:val="center"/>
          </w:tcPr>
          <w:p w14:paraId="3A89446B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41" w:type="pct"/>
            <w:vAlign w:val="center"/>
          </w:tcPr>
          <w:p w14:paraId="3F12803B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25" w:type="pct"/>
            <w:vAlign w:val="center"/>
          </w:tcPr>
          <w:p w14:paraId="43CE3C96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661" w:type="pct"/>
            <w:vAlign w:val="center"/>
          </w:tcPr>
          <w:p w14:paraId="59F72892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323" w:type="pct"/>
            <w:vAlign w:val="center"/>
          </w:tcPr>
          <w:p w14:paraId="79DC6052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</w:tr>
      <w:tr w:rsidR="007D154A" w:rsidRPr="00334961" w14:paraId="3E3ED555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361CBBA4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ICU mortality</w:t>
            </w:r>
          </w:p>
        </w:tc>
        <w:tc>
          <w:tcPr>
            <w:tcW w:w="1041" w:type="pct"/>
            <w:vAlign w:val="center"/>
          </w:tcPr>
          <w:p w14:paraId="0757518E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Reference</w:t>
            </w:r>
          </w:p>
        </w:tc>
        <w:tc>
          <w:tcPr>
            <w:tcW w:w="741" w:type="pct"/>
            <w:vAlign w:val="center"/>
          </w:tcPr>
          <w:p w14:paraId="3BE0794C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2D9A21BE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41" w:type="pct"/>
            <w:vAlign w:val="center"/>
          </w:tcPr>
          <w:p w14:paraId="0D0D344B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4E9BD28C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661" w:type="pct"/>
            <w:vAlign w:val="center"/>
          </w:tcPr>
          <w:p w14:paraId="4AE932A1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1.00 (Reference)</w:t>
            </w:r>
          </w:p>
        </w:tc>
        <w:tc>
          <w:tcPr>
            <w:tcW w:w="323" w:type="pct"/>
            <w:vAlign w:val="center"/>
          </w:tcPr>
          <w:p w14:paraId="6F48284C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</w:tr>
      <w:tr w:rsidR="007D154A" w:rsidRPr="00334961" w14:paraId="0640ED37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0B8B031C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6F030BDB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Isolated hyperlactatemia</w:t>
            </w:r>
          </w:p>
        </w:tc>
        <w:tc>
          <w:tcPr>
            <w:tcW w:w="741" w:type="pct"/>
            <w:vAlign w:val="center"/>
          </w:tcPr>
          <w:p w14:paraId="62EAC3B9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2.31 (1.55-3.45)</w:t>
            </w:r>
          </w:p>
        </w:tc>
        <w:tc>
          <w:tcPr>
            <w:tcW w:w="325" w:type="pct"/>
            <w:vAlign w:val="center"/>
          </w:tcPr>
          <w:p w14:paraId="63637116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741" w:type="pct"/>
            <w:vAlign w:val="center"/>
          </w:tcPr>
          <w:p w14:paraId="78F653DF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2.24 (1.50-3.35)</w:t>
            </w:r>
          </w:p>
        </w:tc>
        <w:tc>
          <w:tcPr>
            <w:tcW w:w="325" w:type="pct"/>
            <w:vAlign w:val="center"/>
          </w:tcPr>
          <w:p w14:paraId="1CFC8E05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661" w:type="pct"/>
            <w:vAlign w:val="center"/>
          </w:tcPr>
          <w:p w14:paraId="1FE120F9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1.69 (1.11-2.57)</w:t>
            </w:r>
          </w:p>
        </w:tc>
        <w:tc>
          <w:tcPr>
            <w:tcW w:w="323" w:type="pct"/>
            <w:vAlign w:val="center"/>
          </w:tcPr>
          <w:p w14:paraId="1ABAAB0E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0.014</w:t>
            </w:r>
          </w:p>
        </w:tc>
      </w:tr>
      <w:tr w:rsidR="007D154A" w:rsidRPr="00334961" w14:paraId="37C26C73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03D90225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3733EA88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Hemodynamic hypoperfusion</w:t>
            </w:r>
          </w:p>
        </w:tc>
        <w:tc>
          <w:tcPr>
            <w:tcW w:w="741" w:type="pct"/>
            <w:vAlign w:val="center"/>
          </w:tcPr>
          <w:p w14:paraId="5DB939DF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1.69 (1.25-2.28)</w:t>
            </w:r>
          </w:p>
        </w:tc>
        <w:tc>
          <w:tcPr>
            <w:tcW w:w="325" w:type="pct"/>
            <w:vAlign w:val="center"/>
          </w:tcPr>
          <w:p w14:paraId="25EE1161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741" w:type="pct"/>
            <w:vAlign w:val="center"/>
          </w:tcPr>
          <w:p w14:paraId="391D8942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1.63 (1.21-2.21)</w:t>
            </w:r>
          </w:p>
        </w:tc>
        <w:tc>
          <w:tcPr>
            <w:tcW w:w="325" w:type="pct"/>
            <w:vAlign w:val="center"/>
          </w:tcPr>
          <w:p w14:paraId="3D278CB5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0.001</w:t>
            </w:r>
          </w:p>
        </w:tc>
        <w:tc>
          <w:tcPr>
            <w:tcW w:w="661" w:type="pct"/>
            <w:vAlign w:val="center"/>
          </w:tcPr>
          <w:p w14:paraId="314DCC87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1.05 (0.77-1.44)</w:t>
            </w:r>
          </w:p>
        </w:tc>
        <w:tc>
          <w:tcPr>
            <w:tcW w:w="323" w:type="pct"/>
            <w:vAlign w:val="center"/>
          </w:tcPr>
          <w:p w14:paraId="10AC298B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0.759</w:t>
            </w:r>
          </w:p>
        </w:tc>
      </w:tr>
      <w:tr w:rsidR="007D154A" w:rsidRPr="00334961" w14:paraId="3831CAEE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38C73F09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4ECA0C24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Combined hypoperfusion</w:t>
            </w:r>
          </w:p>
        </w:tc>
        <w:tc>
          <w:tcPr>
            <w:tcW w:w="741" w:type="pct"/>
            <w:vAlign w:val="center"/>
          </w:tcPr>
          <w:p w14:paraId="3840B30B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8.33 (6.26-11.09)</w:t>
            </w:r>
          </w:p>
        </w:tc>
        <w:tc>
          <w:tcPr>
            <w:tcW w:w="325" w:type="pct"/>
            <w:vAlign w:val="center"/>
          </w:tcPr>
          <w:p w14:paraId="25219167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741" w:type="pct"/>
            <w:vAlign w:val="center"/>
          </w:tcPr>
          <w:p w14:paraId="13D3DF2F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8.04 (6.04-10.71)</w:t>
            </w:r>
          </w:p>
        </w:tc>
        <w:tc>
          <w:tcPr>
            <w:tcW w:w="325" w:type="pct"/>
            <w:vAlign w:val="center"/>
          </w:tcPr>
          <w:p w14:paraId="4225BB7B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661" w:type="pct"/>
            <w:vAlign w:val="center"/>
          </w:tcPr>
          <w:p w14:paraId="3C963A5F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3.11 (2.29-4.22)</w:t>
            </w:r>
          </w:p>
        </w:tc>
        <w:tc>
          <w:tcPr>
            <w:tcW w:w="323" w:type="pct"/>
            <w:vAlign w:val="center"/>
          </w:tcPr>
          <w:p w14:paraId="6A4A1C6F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7D154A" w:rsidRPr="00334961" w14:paraId="4BE6FDC6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6942E8EC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Hospital mortality</w:t>
            </w:r>
          </w:p>
        </w:tc>
        <w:tc>
          <w:tcPr>
            <w:tcW w:w="1041" w:type="pct"/>
            <w:vAlign w:val="center"/>
          </w:tcPr>
          <w:p w14:paraId="46EE851E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Reference</w:t>
            </w:r>
          </w:p>
        </w:tc>
        <w:tc>
          <w:tcPr>
            <w:tcW w:w="741" w:type="pct"/>
            <w:vAlign w:val="center"/>
          </w:tcPr>
          <w:p w14:paraId="4775B281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094DDA34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741" w:type="pct"/>
            <w:vAlign w:val="center"/>
          </w:tcPr>
          <w:p w14:paraId="0AB8C07B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6CBCDC03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661" w:type="pct"/>
            <w:vAlign w:val="center"/>
          </w:tcPr>
          <w:p w14:paraId="24515B2C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1.00 (Reference)</w:t>
            </w:r>
          </w:p>
        </w:tc>
        <w:tc>
          <w:tcPr>
            <w:tcW w:w="323" w:type="pct"/>
            <w:vAlign w:val="center"/>
          </w:tcPr>
          <w:p w14:paraId="60237907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</w:tr>
      <w:tr w:rsidR="007D154A" w:rsidRPr="00334961" w14:paraId="554C8DCF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77A274E9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2E6C02A3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Isolated hyperlactatemia</w:t>
            </w:r>
          </w:p>
        </w:tc>
        <w:tc>
          <w:tcPr>
            <w:tcW w:w="741" w:type="pct"/>
            <w:vAlign w:val="center"/>
          </w:tcPr>
          <w:p w14:paraId="00ADE197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2.45 (1.76-3.40)</w:t>
            </w:r>
          </w:p>
        </w:tc>
        <w:tc>
          <w:tcPr>
            <w:tcW w:w="325" w:type="pct"/>
            <w:vAlign w:val="center"/>
          </w:tcPr>
          <w:p w14:paraId="29B3FE14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741" w:type="pct"/>
            <w:vAlign w:val="center"/>
          </w:tcPr>
          <w:p w14:paraId="7926FCC9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2.34 (1.68-3.26)</w:t>
            </w:r>
          </w:p>
        </w:tc>
        <w:tc>
          <w:tcPr>
            <w:tcW w:w="325" w:type="pct"/>
            <w:vAlign w:val="center"/>
          </w:tcPr>
          <w:p w14:paraId="67BCA736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661" w:type="pct"/>
            <w:vAlign w:val="center"/>
          </w:tcPr>
          <w:p w14:paraId="4B67B256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1.88 (1.34-2.66)</w:t>
            </w:r>
          </w:p>
        </w:tc>
        <w:tc>
          <w:tcPr>
            <w:tcW w:w="323" w:type="pct"/>
            <w:vAlign w:val="center"/>
          </w:tcPr>
          <w:p w14:paraId="64316069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</w:tr>
      <w:tr w:rsidR="007D154A" w:rsidRPr="00334961" w14:paraId="6B72500E" w14:textId="77777777" w:rsidTr="00020D0C">
        <w:trPr>
          <w:cantSplit/>
          <w:trHeight w:val="283"/>
        </w:trPr>
        <w:tc>
          <w:tcPr>
            <w:tcW w:w="843" w:type="pct"/>
            <w:vAlign w:val="center"/>
          </w:tcPr>
          <w:p w14:paraId="74E92D17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vAlign w:val="center"/>
          </w:tcPr>
          <w:p w14:paraId="3073C4F7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Hemodynamic hypoperfusion</w:t>
            </w:r>
          </w:p>
        </w:tc>
        <w:tc>
          <w:tcPr>
            <w:tcW w:w="741" w:type="pct"/>
            <w:vAlign w:val="center"/>
          </w:tcPr>
          <w:p w14:paraId="64580A13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1.72 (1.35-2.20)</w:t>
            </w:r>
          </w:p>
        </w:tc>
        <w:tc>
          <w:tcPr>
            <w:tcW w:w="325" w:type="pct"/>
            <w:vAlign w:val="center"/>
          </w:tcPr>
          <w:p w14:paraId="20876CA5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741" w:type="pct"/>
            <w:vAlign w:val="center"/>
          </w:tcPr>
          <w:p w14:paraId="065FC572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1.63 (1.28-2.08)</w:t>
            </w:r>
          </w:p>
        </w:tc>
        <w:tc>
          <w:tcPr>
            <w:tcW w:w="325" w:type="pct"/>
            <w:vAlign w:val="center"/>
          </w:tcPr>
          <w:p w14:paraId="23264F2D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661" w:type="pct"/>
            <w:vAlign w:val="center"/>
          </w:tcPr>
          <w:p w14:paraId="0FB843FF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1.11 (0.87-1.43)</w:t>
            </w:r>
          </w:p>
        </w:tc>
        <w:tc>
          <w:tcPr>
            <w:tcW w:w="323" w:type="pct"/>
            <w:vAlign w:val="center"/>
          </w:tcPr>
          <w:p w14:paraId="2B154E87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0.402</w:t>
            </w:r>
          </w:p>
        </w:tc>
      </w:tr>
      <w:tr w:rsidR="007D154A" w:rsidRPr="00334961" w14:paraId="0248C2D6" w14:textId="77777777" w:rsidTr="00020D0C">
        <w:trPr>
          <w:cantSplit/>
          <w:trHeight w:val="283"/>
        </w:trPr>
        <w:tc>
          <w:tcPr>
            <w:tcW w:w="843" w:type="pct"/>
            <w:tcBorders>
              <w:bottom w:val="single" w:sz="12" w:space="0" w:color="auto"/>
            </w:tcBorders>
            <w:vAlign w:val="center"/>
          </w:tcPr>
          <w:p w14:paraId="1B762013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</w:p>
        </w:tc>
        <w:tc>
          <w:tcPr>
            <w:tcW w:w="1041" w:type="pct"/>
            <w:tcBorders>
              <w:bottom w:val="single" w:sz="12" w:space="0" w:color="auto"/>
            </w:tcBorders>
            <w:vAlign w:val="center"/>
          </w:tcPr>
          <w:p w14:paraId="1DB93D77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Combined hypoperfusion</w:t>
            </w:r>
          </w:p>
        </w:tc>
        <w:tc>
          <w:tcPr>
            <w:tcW w:w="741" w:type="pct"/>
            <w:tcBorders>
              <w:bottom w:val="single" w:sz="12" w:space="0" w:color="auto"/>
            </w:tcBorders>
            <w:vAlign w:val="center"/>
          </w:tcPr>
          <w:p w14:paraId="6677B96C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7.41 (5.86-9.38)</w:t>
            </w:r>
          </w:p>
        </w:tc>
        <w:tc>
          <w:tcPr>
            <w:tcW w:w="325" w:type="pct"/>
            <w:tcBorders>
              <w:bottom w:val="single" w:sz="12" w:space="0" w:color="auto"/>
            </w:tcBorders>
            <w:vAlign w:val="center"/>
          </w:tcPr>
          <w:p w14:paraId="1A11511C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741" w:type="pct"/>
            <w:tcBorders>
              <w:bottom w:val="single" w:sz="12" w:space="0" w:color="auto"/>
            </w:tcBorders>
            <w:vAlign w:val="center"/>
          </w:tcPr>
          <w:p w14:paraId="25614FBA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7.07 (5.58-8.95)</w:t>
            </w:r>
          </w:p>
        </w:tc>
        <w:tc>
          <w:tcPr>
            <w:tcW w:w="325" w:type="pct"/>
            <w:tcBorders>
              <w:bottom w:val="single" w:sz="12" w:space="0" w:color="auto"/>
            </w:tcBorders>
            <w:vAlign w:val="center"/>
          </w:tcPr>
          <w:p w14:paraId="213C6106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14:paraId="2462DD7A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3.15 (2.45-4.06)</w:t>
            </w:r>
          </w:p>
        </w:tc>
        <w:tc>
          <w:tcPr>
            <w:tcW w:w="323" w:type="pct"/>
            <w:tcBorders>
              <w:bottom w:val="single" w:sz="12" w:space="0" w:color="auto"/>
            </w:tcBorders>
            <w:vAlign w:val="center"/>
          </w:tcPr>
          <w:p w14:paraId="7FD750EE" w14:textId="77777777" w:rsidR="007D154A" w:rsidRPr="00334961" w:rsidRDefault="007D154A" w:rsidP="00020D0C">
            <w:pPr>
              <w:widowControl/>
              <w:adjustRightInd w:val="0"/>
              <w:snapToGrid w:val="0"/>
              <w:spacing w:after="120" w:line="276" w:lineRule="auto"/>
              <w:jc w:val="center"/>
              <w:rPr>
                <w:rFonts w:ascii="Times New Roman" w:eastAsia="宋体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bCs/>
                <w:sz w:val="15"/>
                <w:szCs w:val="15"/>
                <w:lang w:eastAsia="zh-CN"/>
              </w:rPr>
              <w:t>&lt;0.001</w:t>
            </w:r>
          </w:p>
        </w:tc>
      </w:tr>
    </w:tbl>
    <w:p w14:paraId="3C672F55" w14:textId="2DF65838" w:rsidR="007D154A" w:rsidRPr="007D154A" w:rsidRDefault="007D154A" w:rsidP="007259D1">
      <w:pPr>
        <w:snapToGrid w:val="0"/>
        <w:jc w:val="both"/>
        <w:rPr>
          <w:rFonts w:ascii="Times New Roman" w:hAnsi="Times New Roman"/>
          <w:sz w:val="24"/>
        </w:rPr>
        <w:sectPr w:rsidR="007D154A" w:rsidRPr="007D154A" w:rsidSect="001616E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hint="eastAsia"/>
          <w:sz w:val="24"/>
        </w:rPr>
        <w:lastRenderedPageBreak/>
        <w:t>Model 1 was unadjusted. Model 2 was adjusted for age</w:t>
      </w:r>
      <w:r w:rsidR="00C474F8">
        <w:rPr>
          <w:rFonts w:ascii="Times New Roman" w:hAnsi="Times New Roman" w:hint="eastAsia"/>
          <w:sz w:val="24"/>
        </w:rPr>
        <w:t xml:space="preserve"> and sex</w:t>
      </w:r>
      <w:r>
        <w:rPr>
          <w:rFonts w:ascii="Times New Roman" w:hAnsi="Times New Roman" w:hint="eastAsia"/>
          <w:sz w:val="24"/>
        </w:rPr>
        <w:t>. Model 3 was adjusted for age, sex, SOFA score, creatinine, and pH. Odds ratios (ORs) are presented with 95% confidence intervals (CIs). OR, odds ratio; CI, confidence interval; SOFA, Sequential Organ Failure Assessment; ICU, intensive care unit.</w:t>
      </w:r>
      <w:r>
        <w:rPr>
          <w:rFonts w:ascii="Times New Roman" w:hAnsi="Times New Roman"/>
          <w:sz w:val="24"/>
        </w:rPr>
        <w:t xml:space="preserve"> </w:t>
      </w:r>
    </w:p>
    <w:p w14:paraId="5D8FB46F" w14:textId="77777777" w:rsidR="004B5131" w:rsidRDefault="00000000">
      <w:pPr>
        <w:snapToGri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Exploratory kidney-related analyses. </w:t>
      </w:r>
      <w:r>
        <w:rPr>
          <w:rFonts w:ascii="Times New Roman" w:hAnsi="Times New Roman"/>
          <w:sz w:val="24"/>
        </w:rPr>
        <w:t>As prespecified exploratory analyses, we examined the cross-sectional association between early hypoperfusion phenotypes and concurrent early sepsis-associated acute kidney injury (SA-AKI) in the MIMIC-IV derivation cohort, with both phenotype classification and SA-AKI assessment based on data from the first 24 hours after ICU admission. SA-AKI was defined according to KDIGO criteria using serum creatinine and/or urine output. Because the phenotype assessment window overlapped with the kidney outcome window, this analysis was cross-sectional and was not designed to evaluate temporal prediction or causality. In the eICU validation cohort, a harmonized KDIGO-based SA-AKI endpoint could not be reconstructed; the available AKI diagnosis flag was therefore used only as a supplementary proxy AKI endpoint. The eICU proxy analysis was non-confirmatory and should not be interpreted as external validation of the MIMIC SA-AKI findings. Crude and adjusted associations are reported in Tables S3–S5.</w:t>
      </w:r>
    </w:p>
    <w:p w14:paraId="6D09EE06" w14:textId="77777777" w:rsidR="003C4FBC" w:rsidRDefault="003C4FBC" w:rsidP="000422F4">
      <w:pPr>
        <w:snapToGrid w:val="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Table S3. Exploratory multivariable association with SA-AKI in MIMIC-IV</w:t>
      </w:r>
    </w:p>
    <w:tbl>
      <w:tblPr>
        <w:tblStyle w:val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2906"/>
        <w:gridCol w:w="2069"/>
        <w:gridCol w:w="907"/>
        <w:gridCol w:w="2069"/>
        <w:gridCol w:w="907"/>
        <w:gridCol w:w="1845"/>
        <w:gridCol w:w="902"/>
      </w:tblGrid>
      <w:tr w:rsidR="003C4FBC" w:rsidRPr="003C4FBC" w14:paraId="1AEA9413" w14:textId="77777777" w:rsidTr="00502E4F">
        <w:trPr>
          <w:trHeight w:val="340"/>
        </w:trPr>
        <w:tc>
          <w:tcPr>
            <w:tcW w:w="843" w:type="pct"/>
            <w:vMerge w:val="restart"/>
            <w:tcBorders>
              <w:top w:val="single" w:sz="12" w:space="0" w:color="auto"/>
            </w:tcBorders>
            <w:vAlign w:val="center"/>
          </w:tcPr>
          <w:p w14:paraId="30FD4501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Outcome</w:t>
            </w:r>
          </w:p>
        </w:tc>
        <w:tc>
          <w:tcPr>
            <w:tcW w:w="1041" w:type="pct"/>
            <w:vMerge w:val="restart"/>
            <w:tcBorders>
              <w:top w:val="single" w:sz="12" w:space="0" w:color="auto"/>
            </w:tcBorders>
            <w:vAlign w:val="center"/>
          </w:tcPr>
          <w:p w14:paraId="7F4D15B2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Phenotype</w:t>
            </w:r>
          </w:p>
        </w:tc>
        <w:tc>
          <w:tcPr>
            <w:tcW w:w="1066" w:type="pct"/>
            <w:gridSpan w:val="2"/>
            <w:tcBorders>
              <w:top w:val="single" w:sz="12" w:space="0" w:color="auto"/>
            </w:tcBorders>
            <w:vAlign w:val="center"/>
          </w:tcPr>
          <w:p w14:paraId="4B4641CD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o</w:t>
            </w: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del 1</w:t>
            </w:r>
          </w:p>
        </w:tc>
        <w:tc>
          <w:tcPr>
            <w:tcW w:w="1066" w:type="pct"/>
            <w:gridSpan w:val="2"/>
            <w:tcBorders>
              <w:top w:val="single" w:sz="12" w:space="0" w:color="auto"/>
            </w:tcBorders>
            <w:vAlign w:val="center"/>
          </w:tcPr>
          <w:p w14:paraId="6157444A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Model 2</w:t>
            </w:r>
          </w:p>
        </w:tc>
        <w:tc>
          <w:tcPr>
            <w:tcW w:w="984" w:type="pct"/>
            <w:gridSpan w:val="2"/>
            <w:tcBorders>
              <w:top w:val="single" w:sz="12" w:space="0" w:color="auto"/>
            </w:tcBorders>
            <w:vAlign w:val="center"/>
          </w:tcPr>
          <w:p w14:paraId="6BE3BD85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Model 3</w:t>
            </w:r>
          </w:p>
        </w:tc>
      </w:tr>
      <w:tr w:rsidR="003C4FBC" w:rsidRPr="003C4FBC" w14:paraId="55F553DB" w14:textId="77777777" w:rsidTr="00502E4F">
        <w:trPr>
          <w:trHeight w:val="340"/>
        </w:trPr>
        <w:tc>
          <w:tcPr>
            <w:tcW w:w="843" w:type="pct"/>
            <w:vMerge/>
            <w:tcBorders>
              <w:bottom w:val="single" w:sz="8" w:space="0" w:color="auto"/>
            </w:tcBorders>
            <w:vAlign w:val="center"/>
          </w:tcPr>
          <w:p w14:paraId="343F6103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bottom w:val="single" w:sz="8" w:space="0" w:color="auto"/>
            </w:tcBorders>
            <w:vAlign w:val="center"/>
          </w:tcPr>
          <w:p w14:paraId="7E798E32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bottom w:val="single" w:sz="8" w:space="0" w:color="auto"/>
            </w:tcBorders>
            <w:vAlign w:val="center"/>
          </w:tcPr>
          <w:p w14:paraId="185119C4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325" w:type="pct"/>
            <w:tcBorders>
              <w:bottom w:val="single" w:sz="8" w:space="0" w:color="auto"/>
            </w:tcBorders>
            <w:vAlign w:val="center"/>
          </w:tcPr>
          <w:p w14:paraId="7A562295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741" w:type="pct"/>
            <w:tcBorders>
              <w:bottom w:val="single" w:sz="8" w:space="0" w:color="auto"/>
            </w:tcBorders>
            <w:vAlign w:val="center"/>
          </w:tcPr>
          <w:p w14:paraId="557998AD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325" w:type="pct"/>
            <w:tcBorders>
              <w:bottom w:val="single" w:sz="8" w:space="0" w:color="auto"/>
            </w:tcBorders>
            <w:vAlign w:val="center"/>
          </w:tcPr>
          <w:p w14:paraId="34E30A14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vAlign w:val="center"/>
          </w:tcPr>
          <w:p w14:paraId="050663F5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323" w:type="pct"/>
            <w:tcBorders>
              <w:bottom w:val="single" w:sz="8" w:space="0" w:color="auto"/>
            </w:tcBorders>
            <w:vAlign w:val="center"/>
          </w:tcPr>
          <w:p w14:paraId="61355471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P value</w:t>
            </w:r>
          </w:p>
        </w:tc>
      </w:tr>
      <w:tr w:rsidR="003C4FBC" w:rsidRPr="003C4FBC" w14:paraId="10318838" w14:textId="77777777" w:rsidTr="00502E4F">
        <w:trPr>
          <w:trHeight w:val="340"/>
        </w:trPr>
        <w:tc>
          <w:tcPr>
            <w:tcW w:w="843" w:type="pct"/>
          </w:tcPr>
          <w:p w14:paraId="3F9EEC79" w14:textId="77777777" w:rsidR="003C4FBC" w:rsidRPr="003C4FBC" w:rsidRDefault="003C4FBC" w:rsidP="003C4FBC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SA-AKI</w:t>
            </w:r>
          </w:p>
        </w:tc>
        <w:tc>
          <w:tcPr>
            <w:tcW w:w="1041" w:type="pct"/>
          </w:tcPr>
          <w:p w14:paraId="4EE2B7B8" w14:textId="77777777" w:rsidR="003C4FBC" w:rsidRPr="003C4FBC" w:rsidRDefault="003C4FBC" w:rsidP="003C4FBC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Reference</w:t>
            </w:r>
          </w:p>
        </w:tc>
        <w:tc>
          <w:tcPr>
            <w:tcW w:w="741" w:type="pct"/>
            <w:vAlign w:val="center"/>
          </w:tcPr>
          <w:p w14:paraId="6AAEFEE9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56760E27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0A09E263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383E98E0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547BA9F5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1.00 (Reference)</w:t>
            </w:r>
          </w:p>
        </w:tc>
        <w:tc>
          <w:tcPr>
            <w:tcW w:w="323" w:type="pct"/>
            <w:vAlign w:val="center"/>
          </w:tcPr>
          <w:p w14:paraId="2733FB04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</w:tr>
      <w:tr w:rsidR="003C4FBC" w:rsidRPr="003C4FBC" w14:paraId="346625DB" w14:textId="77777777" w:rsidTr="00502E4F">
        <w:trPr>
          <w:trHeight w:val="340"/>
        </w:trPr>
        <w:tc>
          <w:tcPr>
            <w:tcW w:w="843" w:type="pct"/>
          </w:tcPr>
          <w:p w14:paraId="574395EC" w14:textId="77777777" w:rsidR="003C4FBC" w:rsidRPr="003C4FBC" w:rsidRDefault="003C4FBC" w:rsidP="003C4FBC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1" w:type="pct"/>
          </w:tcPr>
          <w:p w14:paraId="56DB66CF" w14:textId="77777777" w:rsidR="003C4FBC" w:rsidRPr="003C4FBC" w:rsidRDefault="003C4FBC" w:rsidP="003C4FBC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Isolated hyperlactatemia</w:t>
            </w:r>
          </w:p>
        </w:tc>
        <w:tc>
          <w:tcPr>
            <w:tcW w:w="741" w:type="pct"/>
            <w:vAlign w:val="center"/>
          </w:tcPr>
          <w:p w14:paraId="3A03F881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0.73 (0.57–0.94)</w:t>
            </w:r>
          </w:p>
        </w:tc>
        <w:tc>
          <w:tcPr>
            <w:tcW w:w="325" w:type="pct"/>
            <w:vAlign w:val="center"/>
          </w:tcPr>
          <w:p w14:paraId="45613685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0.016</w:t>
            </w:r>
          </w:p>
        </w:tc>
        <w:tc>
          <w:tcPr>
            <w:tcW w:w="741" w:type="pct"/>
            <w:vAlign w:val="center"/>
          </w:tcPr>
          <w:p w14:paraId="3D7554FF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0.72 (0.56–0.93)</w:t>
            </w:r>
          </w:p>
        </w:tc>
        <w:tc>
          <w:tcPr>
            <w:tcW w:w="325" w:type="pct"/>
            <w:vAlign w:val="center"/>
          </w:tcPr>
          <w:p w14:paraId="594A9BD1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0.011</w:t>
            </w:r>
          </w:p>
        </w:tc>
        <w:tc>
          <w:tcPr>
            <w:tcW w:w="661" w:type="pct"/>
            <w:vAlign w:val="center"/>
          </w:tcPr>
          <w:p w14:paraId="1E489152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0.76 (0.59–0.99)</w:t>
            </w:r>
          </w:p>
        </w:tc>
        <w:tc>
          <w:tcPr>
            <w:tcW w:w="323" w:type="pct"/>
            <w:vAlign w:val="center"/>
          </w:tcPr>
          <w:p w14:paraId="60FBBBF2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0.044</w:t>
            </w:r>
          </w:p>
        </w:tc>
      </w:tr>
      <w:tr w:rsidR="003C4FBC" w:rsidRPr="003C4FBC" w14:paraId="6B7268EA" w14:textId="77777777" w:rsidTr="00502E4F">
        <w:trPr>
          <w:trHeight w:val="340"/>
        </w:trPr>
        <w:tc>
          <w:tcPr>
            <w:tcW w:w="843" w:type="pct"/>
          </w:tcPr>
          <w:p w14:paraId="4DC70E76" w14:textId="77777777" w:rsidR="003C4FBC" w:rsidRPr="003C4FBC" w:rsidRDefault="003C4FBC" w:rsidP="003C4FBC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1" w:type="pct"/>
          </w:tcPr>
          <w:p w14:paraId="68829EC7" w14:textId="77777777" w:rsidR="003C4FBC" w:rsidRPr="003C4FBC" w:rsidRDefault="003C4FBC" w:rsidP="003C4FBC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Hemodynamic hypoperfusion</w:t>
            </w:r>
          </w:p>
        </w:tc>
        <w:tc>
          <w:tcPr>
            <w:tcW w:w="741" w:type="pct"/>
            <w:vAlign w:val="center"/>
          </w:tcPr>
          <w:p w14:paraId="7612374B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3.14 (2.77–3.58)</w:t>
            </w:r>
          </w:p>
        </w:tc>
        <w:tc>
          <w:tcPr>
            <w:tcW w:w="325" w:type="pct"/>
            <w:vAlign w:val="center"/>
          </w:tcPr>
          <w:p w14:paraId="33E033E1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741" w:type="pct"/>
            <w:vAlign w:val="center"/>
          </w:tcPr>
          <w:p w14:paraId="3B330D7D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2.91 (2.56–3.32)</w:t>
            </w:r>
          </w:p>
        </w:tc>
        <w:tc>
          <w:tcPr>
            <w:tcW w:w="325" w:type="pct"/>
            <w:vAlign w:val="center"/>
          </w:tcPr>
          <w:p w14:paraId="30994A94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661" w:type="pct"/>
            <w:vAlign w:val="center"/>
          </w:tcPr>
          <w:p w14:paraId="03CEE543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2.52 (2.20–2.88)</w:t>
            </w:r>
          </w:p>
        </w:tc>
        <w:tc>
          <w:tcPr>
            <w:tcW w:w="323" w:type="pct"/>
            <w:vAlign w:val="center"/>
          </w:tcPr>
          <w:p w14:paraId="333DF87C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&lt;0.001</w:t>
            </w:r>
          </w:p>
        </w:tc>
      </w:tr>
      <w:tr w:rsidR="003C4FBC" w:rsidRPr="003C4FBC" w14:paraId="34D794F1" w14:textId="77777777" w:rsidTr="00502E4F">
        <w:trPr>
          <w:trHeight w:val="340"/>
        </w:trPr>
        <w:tc>
          <w:tcPr>
            <w:tcW w:w="843" w:type="pct"/>
            <w:tcBorders>
              <w:bottom w:val="single" w:sz="12" w:space="0" w:color="auto"/>
            </w:tcBorders>
          </w:tcPr>
          <w:p w14:paraId="1F2FB7DF" w14:textId="77777777" w:rsidR="003C4FBC" w:rsidRPr="003C4FBC" w:rsidRDefault="003C4FBC" w:rsidP="003C4FBC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1" w:type="pct"/>
            <w:tcBorders>
              <w:bottom w:val="single" w:sz="12" w:space="0" w:color="auto"/>
            </w:tcBorders>
          </w:tcPr>
          <w:p w14:paraId="04AD97FE" w14:textId="77777777" w:rsidR="003C4FBC" w:rsidRPr="003C4FBC" w:rsidRDefault="003C4FBC" w:rsidP="003C4FBC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Combined hypoperfusion</w:t>
            </w:r>
          </w:p>
        </w:tc>
        <w:tc>
          <w:tcPr>
            <w:tcW w:w="741" w:type="pct"/>
            <w:tcBorders>
              <w:bottom w:val="single" w:sz="12" w:space="0" w:color="auto"/>
            </w:tcBorders>
            <w:vAlign w:val="center"/>
          </w:tcPr>
          <w:p w14:paraId="12ACA4AC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2.07 (1.79–2.39)</w:t>
            </w:r>
          </w:p>
        </w:tc>
        <w:tc>
          <w:tcPr>
            <w:tcW w:w="325" w:type="pct"/>
            <w:tcBorders>
              <w:bottom w:val="single" w:sz="12" w:space="0" w:color="auto"/>
            </w:tcBorders>
            <w:vAlign w:val="center"/>
          </w:tcPr>
          <w:p w14:paraId="04361336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741" w:type="pct"/>
            <w:tcBorders>
              <w:bottom w:val="single" w:sz="12" w:space="0" w:color="auto"/>
            </w:tcBorders>
            <w:vAlign w:val="center"/>
          </w:tcPr>
          <w:p w14:paraId="298B9EFD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1.87 (1.61–2.16)</w:t>
            </w:r>
          </w:p>
        </w:tc>
        <w:tc>
          <w:tcPr>
            <w:tcW w:w="325" w:type="pct"/>
            <w:tcBorders>
              <w:bottom w:val="single" w:sz="12" w:space="0" w:color="auto"/>
            </w:tcBorders>
            <w:vAlign w:val="center"/>
          </w:tcPr>
          <w:p w14:paraId="6C5F155E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14:paraId="16C39F9A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1.60 (1.38–1.87)</w:t>
            </w:r>
          </w:p>
        </w:tc>
        <w:tc>
          <w:tcPr>
            <w:tcW w:w="323" w:type="pct"/>
            <w:tcBorders>
              <w:bottom w:val="single" w:sz="12" w:space="0" w:color="auto"/>
            </w:tcBorders>
            <w:vAlign w:val="center"/>
          </w:tcPr>
          <w:p w14:paraId="69CE9283" w14:textId="77777777" w:rsidR="003C4FBC" w:rsidRPr="003C4FBC" w:rsidRDefault="003C4FBC" w:rsidP="003C4FBC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&lt;0.001</w:t>
            </w:r>
          </w:p>
        </w:tc>
      </w:tr>
    </w:tbl>
    <w:p w14:paraId="4D79A3DD" w14:textId="77777777" w:rsidR="00AE767D" w:rsidRDefault="00E91ADF" w:rsidP="000422F4">
      <w:pPr>
        <w:snapToGrid w:val="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Model 1 was unadjusted. Model 2 was adjusted for age and sex. Model 3 was adjusted for age, sex, SOFA score, creatinine, and pH. Odds ratios (ORs) are presented with 95% confidence intervals (CIs), using the reference phenotype as the comparator.</w:t>
      </w:r>
      <w:r>
        <w:rPr>
          <w:rFonts w:hint="eastAsia"/>
        </w:rPr>
        <w:t xml:space="preserve"> </w:t>
      </w:r>
      <w:r>
        <w:rPr>
          <w:rFonts w:ascii="Times New Roman" w:hAnsi="Times New Roman" w:hint="eastAsia"/>
          <w:sz w:val="24"/>
        </w:rPr>
        <w:t>SA-AKI, sepsis-associated acute kidney injury; OR, odds ratio; CI, confidence interval; SOFA, Sequential Organ Failure Assessment.</w:t>
      </w:r>
      <w:r>
        <w:rPr>
          <w:rFonts w:hint="eastAsia"/>
        </w:rPr>
        <w:t xml:space="preserve"> </w:t>
      </w:r>
      <w:r>
        <w:rPr>
          <w:rFonts w:ascii="Times New Roman" w:hAnsi="Times New Roman"/>
          <w:sz w:val="24"/>
        </w:rPr>
        <w:t>Because creatinine is included in the KDIGO-based SA-AKI definition, the fully adjusted kidney model including creatinine was considered exploratory and potentially susceptible to overadjustment.</w:t>
      </w:r>
    </w:p>
    <w:p w14:paraId="0BC5A4E3" w14:textId="139B5193" w:rsidR="00432D8A" w:rsidRDefault="00AE767D" w:rsidP="00A95227">
      <w:pPr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 w:rsidR="00432D8A">
        <w:rPr>
          <w:rFonts w:ascii="Times New Roman" w:hAnsi="Times New Roman" w:hint="eastAsia"/>
          <w:sz w:val="24"/>
        </w:rPr>
        <w:lastRenderedPageBreak/>
        <w:t>Table S4. Exploratory crude distribution of proxy AKI across early hypoperfusion phenotypes in the eICU cohort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1167"/>
        <w:gridCol w:w="3769"/>
        <w:gridCol w:w="2688"/>
        <w:gridCol w:w="2337"/>
      </w:tblGrid>
      <w:tr w:rsidR="00382861" w:rsidRPr="00382861" w14:paraId="18CBD11E" w14:textId="77777777" w:rsidTr="00FF51DC">
        <w:tc>
          <w:tcPr>
            <w:tcW w:w="1432" w:type="pct"/>
            <w:tcBorders>
              <w:top w:val="single" w:sz="12" w:space="0" w:color="auto"/>
              <w:bottom w:val="single" w:sz="8" w:space="0" w:color="auto"/>
            </w:tcBorders>
          </w:tcPr>
          <w:p w14:paraId="38535D79" w14:textId="77777777" w:rsidR="00382861" w:rsidRPr="00382861" w:rsidRDefault="00382861" w:rsidP="00432D8A">
            <w:pPr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Phenotype</w:t>
            </w:r>
          </w:p>
        </w:tc>
        <w:tc>
          <w:tcPr>
            <w:tcW w:w="418" w:type="pct"/>
            <w:tcBorders>
              <w:top w:val="single" w:sz="12" w:space="0" w:color="auto"/>
              <w:bottom w:val="single" w:sz="8" w:space="0" w:color="auto"/>
            </w:tcBorders>
          </w:tcPr>
          <w:p w14:paraId="7135CFF5" w14:textId="77777777" w:rsidR="00382861" w:rsidRPr="00382861" w:rsidRDefault="00AA5B4A" w:rsidP="00382861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Total N</w:t>
            </w:r>
          </w:p>
        </w:tc>
        <w:tc>
          <w:tcPr>
            <w:tcW w:w="1350" w:type="pct"/>
            <w:tcBorders>
              <w:top w:val="single" w:sz="12" w:space="0" w:color="auto"/>
              <w:bottom w:val="single" w:sz="8" w:space="0" w:color="auto"/>
            </w:tcBorders>
          </w:tcPr>
          <w:p w14:paraId="3877E483" w14:textId="77777777" w:rsidR="00382861" w:rsidRPr="00382861" w:rsidRDefault="00FF51DC" w:rsidP="00382861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N with available AKI data</w:t>
            </w:r>
          </w:p>
        </w:tc>
        <w:tc>
          <w:tcPr>
            <w:tcW w:w="963" w:type="pct"/>
            <w:tcBorders>
              <w:top w:val="single" w:sz="12" w:space="0" w:color="auto"/>
              <w:bottom w:val="single" w:sz="8" w:space="0" w:color="auto"/>
            </w:tcBorders>
          </w:tcPr>
          <w:p w14:paraId="6A864ED4" w14:textId="77777777" w:rsidR="00382861" w:rsidRPr="00382861" w:rsidRDefault="00FF51DC" w:rsidP="00382861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N with proxy AKI</w:t>
            </w:r>
          </w:p>
        </w:tc>
        <w:tc>
          <w:tcPr>
            <w:tcW w:w="837" w:type="pct"/>
            <w:tcBorders>
              <w:top w:val="single" w:sz="12" w:space="0" w:color="auto"/>
              <w:bottom w:val="single" w:sz="8" w:space="0" w:color="auto"/>
            </w:tcBorders>
          </w:tcPr>
          <w:p w14:paraId="3D8B01AB" w14:textId="77777777" w:rsidR="00382861" w:rsidRPr="00382861" w:rsidRDefault="00FF51DC" w:rsidP="00382861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Proxy AKI (%)</w:t>
            </w:r>
          </w:p>
        </w:tc>
      </w:tr>
      <w:tr w:rsidR="00382861" w:rsidRPr="00382861" w14:paraId="6BDE5A38" w14:textId="77777777" w:rsidTr="00FF51DC">
        <w:tc>
          <w:tcPr>
            <w:tcW w:w="1432" w:type="pct"/>
            <w:tcBorders>
              <w:top w:val="single" w:sz="8" w:space="0" w:color="auto"/>
            </w:tcBorders>
          </w:tcPr>
          <w:p w14:paraId="5E223720" w14:textId="77777777" w:rsidR="00382861" w:rsidRPr="00382861" w:rsidRDefault="00382861" w:rsidP="00432D8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Overall</w:t>
            </w:r>
          </w:p>
        </w:tc>
        <w:tc>
          <w:tcPr>
            <w:tcW w:w="418" w:type="pct"/>
            <w:tcBorders>
              <w:top w:val="single" w:sz="8" w:space="0" w:color="auto"/>
            </w:tcBorders>
          </w:tcPr>
          <w:p w14:paraId="61A9AE8C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10,756</w:t>
            </w:r>
          </w:p>
        </w:tc>
        <w:tc>
          <w:tcPr>
            <w:tcW w:w="1350" w:type="pct"/>
            <w:tcBorders>
              <w:top w:val="single" w:sz="8" w:space="0" w:color="auto"/>
            </w:tcBorders>
          </w:tcPr>
          <w:p w14:paraId="459A2E97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10,551</w:t>
            </w:r>
          </w:p>
        </w:tc>
        <w:tc>
          <w:tcPr>
            <w:tcW w:w="963" w:type="pct"/>
            <w:tcBorders>
              <w:top w:val="single" w:sz="8" w:space="0" w:color="auto"/>
            </w:tcBorders>
          </w:tcPr>
          <w:p w14:paraId="46FA28C1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472</w:t>
            </w:r>
          </w:p>
        </w:tc>
        <w:tc>
          <w:tcPr>
            <w:tcW w:w="837" w:type="pct"/>
            <w:tcBorders>
              <w:top w:val="single" w:sz="8" w:space="0" w:color="auto"/>
            </w:tcBorders>
          </w:tcPr>
          <w:p w14:paraId="05FA3C0C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4.4%</w:t>
            </w:r>
          </w:p>
        </w:tc>
      </w:tr>
      <w:tr w:rsidR="00382861" w:rsidRPr="00382861" w14:paraId="1D261C8A" w14:textId="77777777" w:rsidTr="00FF51DC">
        <w:tc>
          <w:tcPr>
            <w:tcW w:w="1432" w:type="pct"/>
          </w:tcPr>
          <w:p w14:paraId="4C380995" w14:textId="77777777" w:rsidR="00382861" w:rsidRPr="00382861" w:rsidRDefault="00382861" w:rsidP="00432D8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Reference</w:t>
            </w:r>
          </w:p>
        </w:tc>
        <w:tc>
          <w:tcPr>
            <w:tcW w:w="418" w:type="pct"/>
          </w:tcPr>
          <w:p w14:paraId="1CD4810F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1,969</w:t>
            </w:r>
          </w:p>
        </w:tc>
        <w:tc>
          <w:tcPr>
            <w:tcW w:w="1350" w:type="pct"/>
          </w:tcPr>
          <w:p w14:paraId="1F67CD74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1,929</w:t>
            </w:r>
          </w:p>
        </w:tc>
        <w:tc>
          <w:tcPr>
            <w:tcW w:w="963" w:type="pct"/>
          </w:tcPr>
          <w:p w14:paraId="6C41AD09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64</w:t>
            </w:r>
          </w:p>
        </w:tc>
        <w:tc>
          <w:tcPr>
            <w:tcW w:w="837" w:type="pct"/>
          </w:tcPr>
          <w:p w14:paraId="2E982091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3.3%</w:t>
            </w:r>
          </w:p>
        </w:tc>
      </w:tr>
      <w:tr w:rsidR="00382861" w:rsidRPr="00382861" w14:paraId="2DDD37B6" w14:textId="77777777" w:rsidTr="00FF51DC">
        <w:tc>
          <w:tcPr>
            <w:tcW w:w="1432" w:type="pct"/>
          </w:tcPr>
          <w:p w14:paraId="5A21A702" w14:textId="77777777" w:rsidR="00382861" w:rsidRPr="00382861" w:rsidRDefault="00382861" w:rsidP="00432D8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Isolated hyperlactatemia</w:t>
            </w:r>
          </w:p>
        </w:tc>
        <w:tc>
          <w:tcPr>
            <w:tcW w:w="418" w:type="pct"/>
          </w:tcPr>
          <w:p w14:paraId="5810DF80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748</w:t>
            </w:r>
          </w:p>
        </w:tc>
        <w:tc>
          <w:tcPr>
            <w:tcW w:w="1350" w:type="pct"/>
          </w:tcPr>
          <w:p w14:paraId="1A5B214C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742</w:t>
            </w:r>
          </w:p>
        </w:tc>
        <w:tc>
          <w:tcPr>
            <w:tcW w:w="963" w:type="pct"/>
          </w:tcPr>
          <w:p w14:paraId="35191463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36</w:t>
            </w:r>
          </w:p>
        </w:tc>
        <w:tc>
          <w:tcPr>
            <w:tcW w:w="837" w:type="pct"/>
          </w:tcPr>
          <w:p w14:paraId="1E2FE126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4.8%</w:t>
            </w:r>
          </w:p>
        </w:tc>
      </w:tr>
      <w:tr w:rsidR="00382861" w:rsidRPr="00382861" w14:paraId="02DC8D75" w14:textId="77777777" w:rsidTr="00FF51DC">
        <w:tc>
          <w:tcPr>
            <w:tcW w:w="1432" w:type="pct"/>
          </w:tcPr>
          <w:p w14:paraId="1AAF10D8" w14:textId="77777777" w:rsidR="00382861" w:rsidRPr="00382861" w:rsidRDefault="00382861" w:rsidP="00432D8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Hemodynamic hypoperfusion</w:t>
            </w:r>
          </w:p>
        </w:tc>
        <w:tc>
          <w:tcPr>
            <w:tcW w:w="418" w:type="pct"/>
          </w:tcPr>
          <w:p w14:paraId="4925EC22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4,999</w:t>
            </w:r>
          </w:p>
        </w:tc>
        <w:tc>
          <w:tcPr>
            <w:tcW w:w="1350" w:type="pct"/>
          </w:tcPr>
          <w:p w14:paraId="4EE0C0FF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4,887</w:t>
            </w:r>
          </w:p>
        </w:tc>
        <w:tc>
          <w:tcPr>
            <w:tcW w:w="963" w:type="pct"/>
          </w:tcPr>
          <w:p w14:paraId="1F58DF04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211</w:t>
            </w:r>
          </w:p>
        </w:tc>
        <w:tc>
          <w:tcPr>
            <w:tcW w:w="837" w:type="pct"/>
          </w:tcPr>
          <w:p w14:paraId="2F7050E7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4.2%</w:t>
            </w:r>
          </w:p>
        </w:tc>
      </w:tr>
      <w:tr w:rsidR="00382861" w:rsidRPr="00382861" w14:paraId="4021242E" w14:textId="77777777" w:rsidTr="00FF51DC">
        <w:tc>
          <w:tcPr>
            <w:tcW w:w="1432" w:type="pct"/>
            <w:tcBorders>
              <w:bottom w:val="single" w:sz="12" w:space="0" w:color="auto"/>
            </w:tcBorders>
          </w:tcPr>
          <w:p w14:paraId="622B6551" w14:textId="77777777" w:rsidR="00382861" w:rsidRPr="00382861" w:rsidRDefault="00382861" w:rsidP="00432D8A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Combined hypoperfusion</w:t>
            </w:r>
          </w:p>
        </w:tc>
        <w:tc>
          <w:tcPr>
            <w:tcW w:w="418" w:type="pct"/>
            <w:tcBorders>
              <w:bottom w:val="single" w:sz="12" w:space="0" w:color="auto"/>
            </w:tcBorders>
          </w:tcPr>
          <w:p w14:paraId="35DACDE3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3,040</w:t>
            </w:r>
          </w:p>
        </w:tc>
        <w:tc>
          <w:tcPr>
            <w:tcW w:w="1350" w:type="pct"/>
            <w:tcBorders>
              <w:bottom w:val="single" w:sz="12" w:space="0" w:color="auto"/>
            </w:tcBorders>
          </w:tcPr>
          <w:p w14:paraId="261958CE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2,993</w:t>
            </w:r>
          </w:p>
        </w:tc>
        <w:tc>
          <w:tcPr>
            <w:tcW w:w="963" w:type="pct"/>
            <w:tcBorders>
              <w:bottom w:val="single" w:sz="12" w:space="0" w:color="auto"/>
            </w:tcBorders>
          </w:tcPr>
          <w:p w14:paraId="35709A6C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161</w:t>
            </w:r>
          </w:p>
        </w:tc>
        <w:tc>
          <w:tcPr>
            <w:tcW w:w="837" w:type="pct"/>
            <w:tcBorders>
              <w:bottom w:val="single" w:sz="12" w:space="0" w:color="auto"/>
            </w:tcBorders>
          </w:tcPr>
          <w:p w14:paraId="3BE0F4EE" w14:textId="77777777" w:rsidR="00382861" w:rsidRPr="00382861" w:rsidRDefault="00382861" w:rsidP="0038286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5.3%</w:t>
            </w:r>
          </w:p>
        </w:tc>
      </w:tr>
    </w:tbl>
    <w:p w14:paraId="5275CAC2" w14:textId="77777777" w:rsidR="00432D8A" w:rsidRDefault="00382861" w:rsidP="00585EB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Data are presented as n or %. Proxy AKI percentage was calculated among patients with non-missing AKI flag data in the eICU cohort. Because a harmonized KDIGO-based SA-AKI endpoint could not be reconstructed, this analysis was considered supplementary and exploratory.</w:t>
      </w:r>
    </w:p>
    <w:p w14:paraId="0BF04A59" w14:textId="77777777" w:rsidR="00382861" w:rsidRPr="00382861" w:rsidRDefault="00382861" w:rsidP="00382861">
      <w:pPr>
        <w:rPr>
          <w:rFonts w:ascii="Times New Roman" w:hAnsi="Times New Roman"/>
          <w:sz w:val="24"/>
        </w:rPr>
        <w:sectPr w:rsidR="00382861" w:rsidRPr="00382861" w:rsidSect="001616E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C60F1F4" w14:textId="77777777" w:rsidR="00A23550" w:rsidRDefault="00A23550" w:rsidP="000422F4">
      <w:pPr>
        <w:snapToGrid w:val="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lastRenderedPageBreak/>
        <w:t>Table S5. Exploratory multivariable association with proxy AKI in eICU</w:t>
      </w:r>
    </w:p>
    <w:tbl>
      <w:tblPr>
        <w:tblStyle w:val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3"/>
        <w:gridCol w:w="2906"/>
        <w:gridCol w:w="2069"/>
        <w:gridCol w:w="907"/>
        <w:gridCol w:w="2069"/>
        <w:gridCol w:w="907"/>
        <w:gridCol w:w="1845"/>
        <w:gridCol w:w="902"/>
      </w:tblGrid>
      <w:tr w:rsidR="00AB19E1" w:rsidRPr="003C4FBC" w14:paraId="709F9FE8" w14:textId="77777777" w:rsidTr="004C73BB">
        <w:trPr>
          <w:trHeight w:val="340"/>
        </w:trPr>
        <w:tc>
          <w:tcPr>
            <w:tcW w:w="843" w:type="pct"/>
            <w:vMerge w:val="restart"/>
            <w:tcBorders>
              <w:top w:val="single" w:sz="12" w:space="0" w:color="auto"/>
            </w:tcBorders>
            <w:vAlign w:val="center"/>
          </w:tcPr>
          <w:p w14:paraId="4E2EEB44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Outcome</w:t>
            </w:r>
          </w:p>
        </w:tc>
        <w:tc>
          <w:tcPr>
            <w:tcW w:w="1041" w:type="pct"/>
            <w:vMerge w:val="restart"/>
            <w:tcBorders>
              <w:top w:val="single" w:sz="12" w:space="0" w:color="auto"/>
            </w:tcBorders>
            <w:vAlign w:val="center"/>
          </w:tcPr>
          <w:p w14:paraId="7904706F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Phenotype</w:t>
            </w:r>
          </w:p>
        </w:tc>
        <w:tc>
          <w:tcPr>
            <w:tcW w:w="1066" w:type="pct"/>
            <w:gridSpan w:val="2"/>
            <w:tcBorders>
              <w:top w:val="single" w:sz="12" w:space="0" w:color="auto"/>
            </w:tcBorders>
            <w:vAlign w:val="center"/>
          </w:tcPr>
          <w:p w14:paraId="3A5A3F45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o</w:t>
            </w: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del 1</w:t>
            </w:r>
          </w:p>
        </w:tc>
        <w:tc>
          <w:tcPr>
            <w:tcW w:w="1066" w:type="pct"/>
            <w:gridSpan w:val="2"/>
            <w:tcBorders>
              <w:top w:val="single" w:sz="12" w:space="0" w:color="auto"/>
            </w:tcBorders>
            <w:vAlign w:val="center"/>
          </w:tcPr>
          <w:p w14:paraId="333A181A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Model 2</w:t>
            </w:r>
          </w:p>
        </w:tc>
        <w:tc>
          <w:tcPr>
            <w:tcW w:w="984" w:type="pct"/>
            <w:gridSpan w:val="2"/>
            <w:tcBorders>
              <w:top w:val="single" w:sz="12" w:space="0" w:color="auto"/>
            </w:tcBorders>
            <w:vAlign w:val="center"/>
          </w:tcPr>
          <w:p w14:paraId="56BB75B6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Model 3</w:t>
            </w:r>
          </w:p>
        </w:tc>
      </w:tr>
      <w:tr w:rsidR="00AB19E1" w:rsidRPr="003C4FBC" w14:paraId="59773151" w14:textId="77777777" w:rsidTr="004C73BB">
        <w:trPr>
          <w:trHeight w:val="340"/>
        </w:trPr>
        <w:tc>
          <w:tcPr>
            <w:tcW w:w="843" w:type="pct"/>
            <w:vMerge/>
            <w:tcBorders>
              <w:bottom w:val="single" w:sz="8" w:space="0" w:color="auto"/>
            </w:tcBorders>
            <w:vAlign w:val="center"/>
          </w:tcPr>
          <w:p w14:paraId="36C66A7D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bottom w:val="single" w:sz="8" w:space="0" w:color="auto"/>
            </w:tcBorders>
            <w:vAlign w:val="center"/>
          </w:tcPr>
          <w:p w14:paraId="74F003C4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tcBorders>
              <w:bottom w:val="single" w:sz="8" w:space="0" w:color="auto"/>
            </w:tcBorders>
            <w:vAlign w:val="center"/>
          </w:tcPr>
          <w:p w14:paraId="36CD658C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325" w:type="pct"/>
            <w:tcBorders>
              <w:bottom w:val="single" w:sz="8" w:space="0" w:color="auto"/>
            </w:tcBorders>
            <w:vAlign w:val="center"/>
          </w:tcPr>
          <w:p w14:paraId="00BD82B5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741" w:type="pct"/>
            <w:tcBorders>
              <w:bottom w:val="single" w:sz="8" w:space="0" w:color="auto"/>
            </w:tcBorders>
            <w:vAlign w:val="center"/>
          </w:tcPr>
          <w:p w14:paraId="014BFAE0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325" w:type="pct"/>
            <w:tcBorders>
              <w:bottom w:val="single" w:sz="8" w:space="0" w:color="auto"/>
            </w:tcBorders>
            <w:vAlign w:val="center"/>
          </w:tcPr>
          <w:p w14:paraId="5AE421CA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vAlign w:val="center"/>
          </w:tcPr>
          <w:p w14:paraId="7CF1337B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323" w:type="pct"/>
            <w:tcBorders>
              <w:bottom w:val="single" w:sz="8" w:space="0" w:color="auto"/>
            </w:tcBorders>
            <w:vAlign w:val="center"/>
          </w:tcPr>
          <w:p w14:paraId="4C50F942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P value</w:t>
            </w:r>
          </w:p>
        </w:tc>
      </w:tr>
      <w:tr w:rsidR="00AB19E1" w:rsidRPr="003C4FBC" w14:paraId="31A5E3B3" w14:textId="77777777" w:rsidTr="004C73BB">
        <w:trPr>
          <w:trHeight w:val="340"/>
        </w:trPr>
        <w:tc>
          <w:tcPr>
            <w:tcW w:w="843" w:type="pct"/>
          </w:tcPr>
          <w:p w14:paraId="4CABD02F" w14:textId="77777777" w:rsidR="00AB19E1" w:rsidRPr="003C4FBC" w:rsidRDefault="003748A7" w:rsidP="004C73BB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Proxy AKI</w:t>
            </w:r>
          </w:p>
        </w:tc>
        <w:tc>
          <w:tcPr>
            <w:tcW w:w="1041" w:type="pct"/>
          </w:tcPr>
          <w:p w14:paraId="765E7A28" w14:textId="77777777" w:rsidR="00AB19E1" w:rsidRPr="003C4FBC" w:rsidRDefault="00AB19E1" w:rsidP="004C73BB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Reference</w:t>
            </w:r>
          </w:p>
        </w:tc>
        <w:tc>
          <w:tcPr>
            <w:tcW w:w="741" w:type="pct"/>
            <w:vAlign w:val="center"/>
          </w:tcPr>
          <w:p w14:paraId="21813DA1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76260EF2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2D18425E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1.00 (Reference)</w:t>
            </w:r>
          </w:p>
        </w:tc>
        <w:tc>
          <w:tcPr>
            <w:tcW w:w="325" w:type="pct"/>
            <w:vAlign w:val="center"/>
          </w:tcPr>
          <w:p w14:paraId="16B6CBB8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1" w:type="pct"/>
            <w:vAlign w:val="center"/>
          </w:tcPr>
          <w:p w14:paraId="7DB214D4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1.00 (Reference)</w:t>
            </w:r>
          </w:p>
        </w:tc>
        <w:tc>
          <w:tcPr>
            <w:tcW w:w="323" w:type="pct"/>
            <w:vAlign w:val="center"/>
          </w:tcPr>
          <w:p w14:paraId="33D5F1B1" w14:textId="77777777" w:rsidR="00AB19E1" w:rsidRPr="003C4FBC" w:rsidRDefault="00AB19E1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</w:tr>
      <w:tr w:rsidR="00AB19E1" w:rsidRPr="003C4FBC" w14:paraId="60EEB2DF" w14:textId="77777777" w:rsidTr="004C73BB">
        <w:trPr>
          <w:trHeight w:val="340"/>
        </w:trPr>
        <w:tc>
          <w:tcPr>
            <w:tcW w:w="843" w:type="pct"/>
          </w:tcPr>
          <w:p w14:paraId="441D200C" w14:textId="77777777" w:rsidR="00AB19E1" w:rsidRPr="003C4FBC" w:rsidRDefault="00AB19E1" w:rsidP="004C73BB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1" w:type="pct"/>
          </w:tcPr>
          <w:p w14:paraId="2C6333EB" w14:textId="77777777" w:rsidR="00AB19E1" w:rsidRPr="003C4FBC" w:rsidRDefault="00AB19E1" w:rsidP="004C73BB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Isolated hyperlactatemia</w:t>
            </w:r>
          </w:p>
        </w:tc>
        <w:tc>
          <w:tcPr>
            <w:tcW w:w="741" w:type="pct"/>
            <w:vAlign w:val="center"/>
          </w:tcPr>
          <w:p w14:paraId="74CB83C0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1.66 (1.23-2.23)</w:t>
            </w:r>
          </w:p>
        </w:tc>
        <w:tc>
          <w:tcPr>
            <w:tcW w:w="325" w:type="pct"/>
            <w:vAlign w:val="center"/>
          </w:tcPr>
          <w:p w14:paraId="3E8A6498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741" w:type="pct"/>
            <w:vAlign w:val="center"/>
          </w:tcPr>
          <w:p w14:paraId="5E420132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1.60 (1.19-2.16)</w:t>
            </w:r>
          </w:p>
        </w:tc>
        <w:tc>
          <w:tcPr>
            <w:tcW w:w="325" w:type="pct"/>
            <w:vAlign w:val="center"/>
          </w:tcPr>
          <w:p w14:paraId="2534BD2C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0.002</w:t>
            </w:r>
          </w:p>
        </w:tc>
        <w:tc>
          <w:tcPr>
            <w:tcW w:w="661" w:type="pct"/>
            <w:vAlign w:val="center"/>
          </w:tcPr>
          <w:p w14:paraId="734A0AF0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1.18 (0.76-1.85)</w:t>
            </w:r>
          </w:p>
        </w:tc>
        <w:tc>
          <w:tcPr>
            <w:tcW w:w="323" w:type="pct"/>
            <w:vAlign w:val="center"/>
          </w:tcPr>
          <w:p w14:paraId="7A927DBD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0.453</w:t>
            </w:r>
          </w:p>
        </w:tc>
      </w:tr>
      <w:tr w:rsidR="00AB19E1" w:rsidRPr="003C4FBC" w14:paraId="0135973F" w14:textId="77777777" w:rsidTr="004C73BB">
        <w:trPr>
          <w:trHeight w:val="340"/>
        </w:trPr>
        <w:tc>
          <w:tcPr>
            <w:tcW w:w="843" w:type="pct"/>
          </w:tcPr>
          <w:p w14:paraId="4050EE8D" w14:textId="77777777" w:rsidR="00AB19E1" w:rsidRPr="003C4FBC" w:rsidRDefault="00AB19E1" w:rsidP="004C73BB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1" w:type="pct"/>
          </w:tcPr>
          <w:p w14:paraId="7BDC7362" w14:textId="77777777" w:rsidR="00AB19E1" w:rsidRPr="003C4FBC" w:rsidRDefault="00AB19E1" w:rsidP="004C73BB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Hemodynamic hypoperfusion</w:t>
            </w:r>
          </w:p>
        </w:tc>
        <w:tc>
          <w:tcPr>
            <w:tcW w:w="741" w:type="pct"/>
            <w:vAlign w:val="center"/>
          </w:tcPr>
          <w:p w14:paraId="53436079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1.31 (0.99-1.75)</w:t>
            </w:r>
          </w:p>
        </w:tc>
        <w:tc>
          <w:tcPr>
            <w:tcW w:w="325" w:type="pct"/>
            <w:vAlign w:val="center"/>
          </w:tcPr>
          <w:p w14:paraId="5AD8F51F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0.060</w:t>
            </w:r>
          </w:p>
        </w:tc>
        <w:tc>
          <w:tcPr>
            <w:tcW w:w="741" w:type="pct"/>
            <w:vAlign w:val="center"/>
          </w:tcPr>
          <w:p w14:paraId="50408712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1.28 (0.96-1.71)</w:t>
            </w:r>
          </w:p>
        </w:tc>
        <w:tc>
          <w:tcPr>
            <w:tcW w:w="325" w:type="pct"/>
            <w:vAlign w:val="center"/>
          </w:tcPr>
          <w:p w14:paraId="568A8B17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0.089</w:t>
            </w:r>
          </w:p>
        </w:tc>
        <w:tc>
          <w:tcPr>
            <w:tcW w:w="661" w:type="pct"/>
            <w:vAlign w:val="center"/>
          </w:tcPr>
          <w:p w14:paraId="1C06CB1F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1.05 (0.69-1.60)</w:t>
            </w:r>
          </w:p>
        </w:tc>
        <w:tc>
          <w:tcPr>
            <w:tcW w:w="323" w:type="pct"/>
            <w:vAlign w:val="center"/>
          </w:tcPr>
          <w:p w14:paraId="4BAB2EF7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0.815</w:t>
            </w:r>
          </w:p>
        </w:tc>
      </w:tr>
      <w:tr w:rsidR="00AB19E1" w:rsidRPr="003C4FBC" w14:paraId="0339CE0D" w14:textId="77777777" w:rsidTr="004C73BB">
        <w:trPr>
          <w:trHeight w:val="340"/>
        </w:trPr>
        <w:tc>
          <w:tcPr>
            <w:tcW w:w="843" w:type="pct"/>
            <w:tcBorders>
              <w:bottom w:val="single" w:sz="12" w:space="0" w:color="auto"/>
            </w:tcBorders>
          </w:tcPr>
          <w:p w14:paraId="7FF7F35F" w14:textId="77777777" w:rsidR="00AB19E1" w:rsidRPr="003C4FBC" w:rsidRDefault="00AB19E1" w:rsidP="004C73BB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1" w:type="pct"/>
            <w:tcBorders>
              <w:bottom w:val="single" w:sz="12" w:space="0" w:color="auto"/>
            </w:tcBorders>
          </w:tcPr>
          <w:p w14:paraId="66407926" w14:textId="77777777" w:rsidR="00AB19E1" w:rsidRPr="003C4FBC" w:rsidRDefault="00AB19E1" w:rsidP="004C73BB">
            <w:pPr>
              <w:widowControl/>
              <w:spacing w:after="200" w:line="276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</w:rPr>
              <w:t>Combined hypoperfusion</w:t>
            </w:r>
          </w:p>
        </w:tc>
        <w:tc>
          <w:tcPr>
            <w:tcW w:w="741" w:type="pct"/>
            <w:tcBorders>
              <w:bottom w:val="single" w:sz="12" w:space="0" w:color="auto"/>
            </w:tcBorders>
            <w:vAlign w:val="center"/>
          </w:tcPr>
          <w:p w14:paraId="527492ED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1.49 (0.98-2.26)</w:t>
            </w:r>
          </w:p>
        </w:tc>
        <w:tc>
          <w:tcPr>
            <w:tcW w:w="325" w:type="pct"/>
            <w:tcBorders>
              <w:bottom w:val="single" w:sz="12" w:space="0" w:color="auto"/>
            </w:tcBorders>
            <w:vAlign w:val="center"/>
          </w:tcPr>
          <w:p w14:paraId="5D356C0E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0.063</w:t>
            </w:r>
          </w:p>
        </w:tc>
        <w:tc>
          <w:tcPr>
            <w:tcW w:w="741" w:type="pct"/>
            <w:tcBorders>
              <w:bottom w:val="single" w:sz="12" w:space="0" w:color="auto"/>
            </w:tcBorders>
            <w:vAlign w:val="center"/>
          </w:tcPr>
          <w:p w14:paraId="657F4CBF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1.45 (0.95-2.20)</w:t>
            </w:r>
          </w:p>
        </w:tc>
        <w:tc>
          <w:tcPr>
            <w:tcW w:w="325" w:type="pct"/>
            <w:tcBorders>
              <w:bottom w:val="single" w:sz="12" w:space="0" w:color="auto"/>
            </w:tcBorders>
            <w:vAlign w:val="center"/>
          </w:tcPr>
          <w:p w14:paraId="5FB0184C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0.082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14:paraId="01A0FE72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1.84 (1.07-3.19)</w:t>
            </w:r>
          </w:p>
        </w:tc>
        <w:tc>
          <w:tcPr>
            <w:tcW w:w="323" w:type="pct"/>
            <w:tcBorders>
              <w:bottom w:val="single" w:sz="12" w:space="0" w:color="auto"/>
            </w:tcBorders>
            <w:vAlign w:val="center"/>
          </w:tcPr>
          <w:p w14:paraId="184DFEEF" w14:textId="77777777" w:rsidR="00AB19E1" w:rsidRPr="003C4FBC" w:rsidRDefault="004162F7" w:rsidP="004C73BB">
            <w:pPr>
              <w:widowControl/>
              <w:spacing w:after="200" w:line="276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0"/>
                <w:szCs w:val="20"/>
                <w:lang w:eastAsia="zh-CN"/>
              </w:rPr>
              <w:t>0.029</w:t>
            </w:r>
          </w:p>
        </w:tc>
      </w:tr>
    </w:tbl>
    <w:p w14:paraId="5BA282AE" w14:textId="77777777" w:rsidR="00314CFE" w:rsidRDefault="004162F7" w:rsidP="000422F4">
      <w:pPr>
        <w:snapToGrid w:val="0"/>
        <w:rPr>
          <w:rFonts w:ascii="Times New Roman" w:hAnsi="Times New Roman"/>
          <w:sz w:val="24"/>
        </w:rPr>
        <w:sectPr w:rsidR="00314CFE" w:rsidSect="001616E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hint="eastAsia"/>
          <w:sz w:val="24"/>
        </w:rPr>
        <w:t>Model 1 was unadjusted. Model 2 was adjusted for age and sex. Model 3 was adjusted for age, sex, SOFA score, creatinine, and pH. Odds ratios (ORs) are presented with 95% confidence intervals (CIs), using the reference phenotype as the comparator. Proxy AKI, proxy acute kidney injury endpoint derived from the available AKI diagnosis flag in eICU; OR, odds ratio; CI, confidence interval; SOFA, Sequential Organ Failure Assessment.</w:t>
      </w:r>
    </w:p>
    <w:p w14:paraId="047C2705" w14:textId="77777777" w:rsidR="00AB19E1" w:rsidRDefault="00314CFE" w:rsidP="000422F4">
      <w:pPr>
        <w:snapToGri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Table S6. Sensitivity analysis in eICU using MAP &lt;65 mm Hg alone to define hemodynamic hypoperfusion</w:t>
      </w:r>
    </w:p>
    <w:p w14:paraId="29F1966D" w14:textId="574C5CA4" w:rsidR="00314CFE" w:rsidRDefault="00314CFE" w:rsidP="000422F4">
      <w:pPr>
        <w:snapToGri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Phenotype reclassification (primary vs. sensitivity definition)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9"/>
        <w:gridCol w:w="1535"/>
        <w:gridCol w:w="3439"/>
        <w:gridCol w:w="2127"/>
        <w:gridCol w:w="1588"/>
      </w:tblGrid>
      <w:tr w:rsidR="00314CFE" w:rsidRPr="00314CFE" w14:paraId="08C3073F" w14:textId="77777777" w:rsidTr="00371A31">
        <w:trPr>
          <w:tblHeader/>
        </w:trPr>
        <w:tc>
          <w:tcPr>
            <w:tcW w:w="1887" w:type="pct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24A280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Primary phenotype</w:t>
            </w:r>
          </w:p>
        </w:tc>
        <w:tc>
          <w:tcPr>
            <w:tcW w:w="550" w:type="pct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7AC63D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Reference</w:t>
            </w:r>
          </w:p>
        </w:tc>
        <w:tc>
          <w:tcPr>
            <w:tcW w:w="1232" w:type="pct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405C7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Isolated hyperlactatemia</w:t>
            </w:r>
          </w:p>
        </w:tc>
        <w:tc>
          <w:tcPr>
            <w:tcW w:w="762" w:type="pct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2E6142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Hemodynamic</w:t>
            </w:r>
          </w:p>
        </w:tc>
        <w:tc>
          <w:tcPr>
            <w:tcW w:w="570" w:type="pct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560323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Combined</w:t>
            </w:r>
          </w:p>
        </w:tc>
      </w:tr>
      <w:tr w:rsidR="00314CFE" w:rsidRPr="00314CFE" w14:paraId="50B319E3" w14:textId="77777777" w:rsidTr="00371A31">
        <w:tc>
          <w:tcPr>
            <w:tcW w:w="1887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F9B1D6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Reference (n = 1,969)</w:t>
            </w:r>
          </w:p>
        </w:tc>
        <w:tc>
          <w:tcPr>
            <w:tcW w:w="550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283030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1,969</w:t>
            </w:r>
          </w:p>
        </w:tc>
        <w:tc>
          <w:tcPr>
            <w:tcW w:w="1232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CD8C48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62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8BA71B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70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6A7E1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14CFE" w:rsidRPr="00314CFE" w14:paraId="3B59A79F" w14:textId="77777777" w:rsidTr="00371A31">
        <w:tc>
          <w:tcPr>
            <w:tcW w:w="188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4E752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Isolated hyperlactatemia (n = 748)</w:t>
            </w:r>
          </w:p>
        </w:tc>
        <w:tc>
          <w:tcPr>
            <w:tcW w:w="5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5ADDB4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3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F7FC9C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748</w:t>
            </w:r>
          </w:p>
        </w:tc>
        <w:tc>
          <w:tcPr>
            <w:tcW w:w="76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A2E2AF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7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DF30A4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14CFE" w:rsidRPr="00314CFE" w14:paraId="1736B8BE" w14:textId="77777777" w:rsidTr="00371A31">
        <w:tc>
          <w:tcPr>
            <w:tcW w:w="188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04065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Hemodynamic hypoperfusion (n = 4,999)</w:t>
            </w:r>
          </w:p>
        </w:tc>
        <w:tc>
          <w:tcPr>
            <w:tcW w:w="5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336764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23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12352D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6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EF4FD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4,947</w:t>
            </w:r>
          </w:p>
        </w:tc>
        <w:tc>
          <w:tcPr>
            <w:tcW w:w="57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94847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14CFE" w:rsidRPr="00314CFE" w14:paraId="03D8A659" w14:textId="77777777" w:rsidTr="00371A31">
        <w:tc>
          <w:tcPr>
            <w:tcW w:w="1887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5A088C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Combined hypoperfusion (n = 3,040)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06AD2F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32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2EEB78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762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0C3D1F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70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91C8FE" w14:textId="77777777" w:rsidR="00314CFE" w:rsidRPr="00314CFE" w:rsidRDefault="00314CFE" w:rsidP="00371A31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3,014</w:t>
            </w:r>
          </w:p>
        </w:tc>
      </w:tr>
    </w:tbl>
    <w:p w14:paraId="2972514A" w14:textId="77777777" w:rsidR="00314CFE" w:rsidRDefault="00314CFE" w:rsidP="000422F4">
      <w:pPr>
        <w:snapToGrid w:val="0"/>
        <w:rPr>
          <w:rFonts w:ascii="Times New Roman" w:hAnsi="Times New Roman"/>
          <w:sz w:val="24"/>
        </w:rPr>
        <w:sectPr w:rsidR="00314CFE" w:rsidSect="001616E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sz w:val="24"/>
        </w:rPr>
        <w:t>Concordance: 10,678 of 10,756 (99.3%). Counts on the diagonal denote patients retaining the same phenotype under both definitions. Off-diagonal counts indicate movement to the sensitivity-defined phenotype: 52 patients moved from the hemodynamic hypoperfusion group to reference, and 26 patients moved from the combined hypoperfusion group to isolated hyperlactatemia.</w:t>
      </w:r>
    </w:p>
    <w:p w14:paraId="21A55D20" w14:textId="181D38BB" w:rsidR="00314CFE" w:rsidRDefault="00314CFE" w:rsidP="000422F4">
      <w:pPr>
        <w:snapToGri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B. Crude mortality under the sensitivity definition (MAP &lt;65 mm Hg alone)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5"/>
        <w:gridCol w:w="1706"/>
        <w:gridCol w:w="2713"/>
        <w:gridCol w:w="2713"/>
        <w:gridCol w:w="3101"/>
      </w:tblGrid>
      <w:tr w:rsidR="00314CFE" w:rsidRPr="00314CFE" w14:paraId="1596898B" w14:textId="77777777" w:rsidTr="00314CFE">
        <w:trPr>
          <w:tblHeader/>
        </w:trPr>
        <w:tc>
          <w:tcPr>
            <w:tcW w:w="1334" w:type="pct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F254E9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Phenotype</w:t>
            </w:r>
          </w:p>
        </w:tc>
        <w:tc>
          <w:tcPr>
            <w:tcW w:w="611" w:type="pct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B06900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N</w:t>
            </w:r>
          </w:p>
        </w:tc>
        <w:tc>
          <w:tcPr>
            <w:tcW w:w="972" w:type="pct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B91698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ICU deaths, n (%)</w:t>
            </w:r>
          </w:p>
        </w:tc>
        <w:tc>
          <w:tcPr>
            <w:tcW w:w="972" w:type="pct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A486C8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Hospital deaths, n (%)</w:t>
            </w:r>
          </w:p>
        </w:tc>
        <w:tc>
          <w:tcPr>
            <w:tcW w:w="1111" w:type="pct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D37E06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Reclassified vs primary, n</w:t>
            </w:r>
          </w:p>
        </w:tc>
      </w:tr>
      <w:tr w:rsidR="00314CFE" w:rsidRPr="00314CFE" w14:paraId="49D275FE" w14:textId="77777777" w:rsidTr="00314CFE">
        <w:tc>
          <w:tcPr>
            <w:tcW w:w="1334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275969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Reference</w:t>
            </w:r>
          </w:p>
        </w:tc>
        <w:tc>
          <w:tcPr>
            <w:tcW w:w="611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9DE8A9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2,021</w:t>
            </w:r>
          </w:p>
        </w:tc>
        <w:tc>
          <w:tcPr>
            <w:tcW w:w="972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F37B3B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 (3.8)</w:t>
            </w:r>
          </w:p>
        </w:tc>
        <w:tc>
          <w:tcPr>
            <w:tcW w:w="972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CB461F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 (8.0)</w:t>
            </w:r>
          </w:p>
        </w:tc>
        <w:tc>
          <w:tcPr>
            <w:tcW w:w="1111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4DFC3D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+52 (from hemodynamic)</w:t>
            </w:r>
          </w:p>
        </w:tc>
      </w:tr>
      <w:tr w:rsidR="00314CFE" w:rsidRPr="00314CFE" w14:paraId="44DE1915" w14:textId="77777777" w:rsidTr="00314CFE">
        <w:tc>
          <w:tcPr>
            <w:tcW w:w="133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57634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Isolated hyperlactatemia</w:t>
            </w:r>
          </w:p>
        </w:tc>
        <w:tc>
          <w:tcPr>
            <w:tcW w:w="61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47611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774</w:t>
            </w:r>
          </w:p>
        </w:tc>
        <w:tc>
          <w:tcPr>
            <w:tcW w:w="9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24777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 (10.1)</w:t>
            </w:r>
          </w:p>
        </w:tc>
        <w:tc>
          <w:tcPr>
            <w:tcW w:w="9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C592C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 (18.3)</w:t>
            </w:r>
          </w:p>
        </w:tc>
        <w:tc>
          <w:tcPr>
            <w:tcW w:w="111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F5EEFD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+26 (from combined)</w:t>
            </w:r>
          </w:p>
        </w:tc>
      </w:tr>
      <w:tr w:rsidR="00314CFE" w:rsidRPr="00314CFE" w14:paraId="55DB68A7" w14:textId="77777777" w:rsidTr="00314CFE">
        <w:tc>
          <w:tcPr>
            <w:tcW w:w="133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7504D0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Hemodynamic hypoperfusion</w:t>
            </w:r>
          </w:p>
        </w:tc>
        <w:tc>
          <w:tcPr>
            <w:tcW w:w="61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464C4B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4,947</w:t>
            </w:r>
          </w:p>
        </w:tc>
        <w:tc>
          <w:tcPr>
            <w:tcW w:w="9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9C3F2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349 (7.1)</w:t>
            </w:r>
          </w:p>
        </w:tc>
        <w:tc>
          <w:tcPr>
            <w:tcW w:w="972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0EE792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624 (12.7)</w:t>
            </w:r>
          </w:p>
        </w:tc>
        <w:tc>
          <w:tcPr>
            <w:tcW w:w="111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6788D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−52</w:t>
            </w:r>
          </w:p>
        </w:tc>
      </w:tr>
      <w:tr w:rsidR="00314CFE" w:rsidRPr="00314CFE" w14:paraId="7D308D62" w14:textId="77777777" w:rsidTr="00314CFE">
        <w:tc>
          <w:tcPr>
            <w:tcW w:w="1334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4AA7AE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Combined hypoperfusion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0FB653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3,014</w:t>
            </w:r>
          </w:p>
        </w:tc>
        <w:tc>
          <w:tcPr>
            <w:tcW w:w="972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24826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916 (30.4)</w:t>
            </w:r>
          </w:p>
        </w:tc>
        <w:tc>
          <w:tcPr>
            <w:tcW w:w="972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6A3E8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1,213 (40.5)</w:t>
            </w:r>
          </w:p>
        </w:tc>
        <w:tc>
          <w:tcPr>
            <w:tcW w:w="1111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6AEDC6" w14:textId="77777777" w:rsidR="00314CFE" w:rsidRPr="00314CFE" w:rsidRDefault="00314CFE" w:rsidP="00314CFE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−26</w:t>
            </w:r>
          </w:p>
        </w:tc>
      </w:tr>
    </w:tbl>
    <w:p w14:paraId="4AACDB3E" w14:textId="77777777" w:rsidR="007F2720" w:rsidRDefault="007F2720" w:rsidP="000422F4">
      <w:pPr>
        <w:snapToGrid w:val="0"/>
        <w:rPr>
          <w:rFonts w:ascii="Times New Roman" w:hAnsi="Times New Roman"/>
          <w:sz w:val="24"/>
        </w:rPr>
        <w:sectPr w:rsidR="007F2720" w:rsidSect="001616E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463B010" w14:textId="3A74EDE3" w:rsidR="00314CFE" w:rsidRDefault="00314CFE" w:rsidP="000422F4">
      <w:pPr>
        <w:snapToGrid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C. Adjusted associations between hypoperfusion phenotypes and mortality: primary vs. sensitivity definition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0"/>
        <w:gridCol w:w="2021"/>
        <w:gridCol w:w="2021"/>
        <w:gridCol w:w="1856"/>
        <w:gridCol w:w="2013"/>
        <w:gridCol w:w="2021"/>
        <w:gridCol w:w="1856"/>
      </w:tblGrid>
      <w:tr w:rsidR="000C5723" w:rsidRPr="002F5BDB" w14:paraId="615F2463" w14:textId="77777777" w:rsidTr="002F5BDB">
        <w:trPr>
          <w:trHeight w:val="20"/>
          <w:tblHeader/>
        </w:trPr>
        <w:tc>
          <w:tcPr>
            <w:tcW w:w="777" w:type="pct"/>
            <w:vMerge w:val="restart"/>
            <w:tcBorders>
              <w:top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664E25" w14:textId="77777777" w:rsidR="000C5723" w:rsidRPr="002F5BDB" w:rsidRDefault="000C5723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Phenotype</w:t>
            </w:r>
          </w:p>
        </w:tc>
        <w:tc>
          <w:tcPr>
            <w:tcW w:w="2113" w:type="pct"/>
            <w:gridSpan w:val="3"/>
            <w:tcBorders>
              <w:top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D0D6B4" w14:textId="77777777" w:rsidR="000C5723" w:rsidRPr="002F5BDB" w:rsidRDefault="000C5723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Primary definition (MAP &lt;65 OR vasopressor)</w:t>
            </w:r>
          </w:p>
        </w:tc>
        <w:tc>
          <w:tcPr>
            <w:tcW w:w="2110" w:type="pct"/>
            <w:gridSpan w:val="3"/>
            <w:tcBorders>
              <w:top w:val="single" w:sz="12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99B7E" w14:textId="77777777" w:rsidR="000C5723" w:rsidRPr="002F5BDB" w:rsidRDefault="000C5723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Sensitivity definition (MAP &lt;65 alone)</w:t>
            </w:r>
          </w:p>
        </w:tc>
      </w:tr>
      <w:tr w:rsidR="000C5723" w:rsidRPr="002F5BDB" w14:paraId="4C2EB39D" w14:textId="77777777" w:rsidTr="002F5BDB">
        <w:trPr>
          <w:trHeight w:val="20"/>
          <w:tblHeader/>
        </w:trPr>
        <w:tc>
          <w:tcPr>
            <w:tcW w:w="777" w:type="pct"/>
            <w:vMerge/>
            <w:tcBorders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03CE39" w14:textId="77777777" w:rsidR="000C5723" w:rsidRPr="002F5BDB" w:rsidRDefault="000C5723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8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0B1589" w14:textId="77777777" w:rsidR="000C5723" w:rsidRPr="002F5BDB" w:rsidRDefault="000C5723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Model 1</w:t>
            </w:r>
          </w:p>
        </w:tc>
        <w:tc>
          <w:tcPr>
            <w:tcW w:w="724" w:type="pct"/>
            <w:tcBorders>
              <w:top w:val="single" w:sz="8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45DE6C" w14:textId="77777777" w:rsidR="000C5723" w:rsidRPr="002F5BDB" w:rsidRDefault="000C5723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Model 2</w:t>
            </w:r>
          </w:p>
        </w:tc>
        <w:tc>
          <w:tcPr>
            <w:tcW w:w="665" w:type="pct"/>
            <w:tcBorders>
              <w:top w:val="single" w:sz="8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728ACF" w14:textId="77777777" w:rsidR="000C5723" w:rsidRPr="002F5BDB" w:rsidRDefault="000C5723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Model 3</w:t>
            </w:r>
          </w:p>
        </w:tc>
        <w:tc>
          <w:tcPr>
            <w:tcW w:w="721" w:type="pct"/>
            <w:tcBorders>
              <w:top w:val="single" w:sz="8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43FC2B" w14:textId="77777777" w:rsidR="000C5723" w:rsidRPr="002F5BDB" w:rsidRDefault="000C5723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Model 1</w:t>
            </w:r>
          </w:p>
        </w:tc>
        <w:tc>
          <w:tcPr>
            <w:tcW w:w="724" w:type="pct"/>
            <w:tcBorders>
              <w:top w:val="single" w:sz="8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2DD6B5" w14:textId="77777777" w:rsidR="000C5723" w:rsidRPr="002F5BDB" w:rsidRDefault="000C5723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Model 2</w:t>
            </w:r>
          </w:p>
        </w:tc>
        <w:tc>
          <w:tcPr>
            <w:tcW w:w="665" w:type="pct"/>
            <w:tcBorders>
              <w:top w:val="single" w:sz="8" w:space="0" w:color="auto"/>
              <w:bottom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92DCD4" w14:textId="77777777" w:rsidR="000C5723" w:rsidRPr="002F5BDB" w:rsidRDefault="000C5723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Model 3</w:t>
            </w:r>
          </w:p>
        </w:tc>
      </w:tr>
      <w:tr w:rsidR="00314CFE" w:rsidRPr="002F5BDB" w14:paraId="73823CA3" w14:textId="77777777" w:rsidTr="002F5BDB">
        <w:trPr>
          <w:gridAfter w:val="1"/>
          <w:wAfter w:w="665" w:type="pct"/>
          <w:trHeight w:val="20"/>
        </w:trPr>
        <w:tc>
          <w:tcPr>
            <w:tcW w:w="777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D7EF4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ICU mortality</w:t>
            </w:r>
          </w:p>
        </w:tc>
        <w:tc>
          <w:tcPr>
            <w:tcW w:w="724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EC2637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82E212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27C16D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345A39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4" w:type="pct"/>
            <w:tcBorders>
              <w:top w:val="single" w:sz="8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761EA3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14CFE" w:rsidRPr="002F5BDB" w14:paraId="0672005C" w14:textId="77777777" w:rsidTr="002F5BDB">
        <w:trPr>
          <w:trHeight w:val="20"/>
        </w:trPr>
        <w:tc>
          <w:tcPr>
            <w:tcW w:w="77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5D28DB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F54C47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7BF6CA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B789AA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  <w:tc>
          <w:tcPr>
            <w:tcW w:w="7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28EFE9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889D7A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E3772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</w:tr>
      <w:tr w:rsidR="00314CFE" w:rsidRPr="002F5BDB" w14:paraId="7BFBBDA9" w14:textId="77777777" w:rsidTr="002F5BDB">
        <w:trPr>
          <w:trHeight w:val="20"/>
        </w:trPr>
        <w:tc>
          <w:tcPr>
            <w:tcW w:w="77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848B22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Isolated hyperlactatemia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DA7CA8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2.77 (1.99–3.87); &lt;0.001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ED02AF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2.69 (1.93–3.76); &lt;0.001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8CE29E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1.69 (1.11–2.57); 0.014</w:t>
            </w:r>
          </w:p>
        </w:tc>
        <w:tc>
          <w:tcPr>
            <w:tcW w:w="7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EA895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2.83 (2.04–3.92); &lt;0.001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62629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2.75 (1.98–3.81); &lt;0.001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22B80E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1.66 (1.10–2.50); 0.016</w:t>
            </w:r>
          </w:p>
        </w:tc>
      </w:tr>
      <w:tr w:rsidR="00314CFE" w:rsidRPr="002F5BDB" w14:paraId="3CDC396A" w14:textId="77777777" w:rsidTr="002F5BDB">
        <w:trPr>
          <w:trHeight w:val="20"/>
        </w:trPr>
        <w:tc>
          <w:tcPr>
            <w:tcW w:w="77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A7EEAA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Hemodynamic hypoperfusion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7BA362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1.91 (1.48–2.46); &lt;0.001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37C637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1.84 (1.42–2.38); &lt;0.001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BBD6C5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1.05 (0.77–1.44); 0.759</w:t>
            </w:r>
          </w:p>
        </w:tc>
        <w:tc>
          <w:tcPr>
            <w:tcW w:w="7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2AEC2E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1.92 (1.49–2.47); &lt;0.001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B3656C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1.85 (1.44–2.38); &lt;0.001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46A95E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1.07 (0.79–1.46); 0.658</w:t>
            </w:r>
          </w:p>
        </w:tc>
      </w:tr>
      <w:tr w:rsidR="00314CFE" w:rsidRPr="002F5BDB" w14:paraId="45BF39E2" w14:textId="77777777" w:rsidTr="002F5BDB">
        <w:trPr>
          <w:trHeight w:val="20"/>
        </w:trPr>
        <w:tc>
          <w:tcPr>
            <w:tcW w:w="77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936F2C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Combined hypoperfusion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CD8C2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10.96 (8.59–13.98); &lt;0.001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441EC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10.52 (8.24–13.43); &lt;0.001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51E475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3.11 (2.29–4.22); &lt;0.001</w:t>
            </w:r>
          </w:p>
        </w:tc>
        <w:tc>
          <w:tcPr>
            <w:tcW w:w="7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B641A8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 (8.67–14.02); &lt;0.001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01AC1C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10.59 (8.32–13.48); &lt;0.001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34A588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3.19 (2.36–4.31); &lt;0.001</w:t>
            </w:r>
          </w:p>
        </w:tc>
      </w:tr>
      <w:tr w:rsidR="00314CFE" w:rsidRPr="002F5BDB" w14:paraId="1FFFEFBC" w14:textId="77777777" w:rsidTr="002F5BDB">
        <w:trPr>
          <w:gridAfter w:val="1"/>
          <w:wAfter w:w="665" w:type="pct"/>
          <w:trHeight w:val="20"/>
        </w:trPr>
        <w:tc>
          <w:tcPr>
            <w:tcW w:w="77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1C6718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Hospital mortality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ABF54F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EEBFA0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3A347E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FC97AB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53696A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14CFE" w:rsidRPr="002F5BDB" w14:paraId="58BACE74" w14:textId="77777777" w:rsidTr="002F5BDB">
        <w:trPr>
          <w:trHeight w:val="20"/>
        </w:trPr>
        <w:tc>
          <w:tcPr>
            <w:tcW w:w="77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9CCC2D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Reference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519BC2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D15145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279E34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  <w:tc>
          <w:tcPr>
            <w:tcW w:w="7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ED1E6F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B57799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B9D205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1.00 (ref)</w:t>
            </w:r>
          </w:p>
        </w:tc>
      </w:tr>
      <w:tr w:rsidR="00314CFE" w:rsidRPr="002F5BDB" w14:paraId="5AB8DB78" w14:textId="77777777" w:rsidTr="002F5BDB">
        <w:trPr>
          <w:trHeight w:val="20"/>
        </w:trPr>
        <w:tc>
          <w:tcPr>
            <w:tcW w:w="77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8F114F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Isolated hyperlactatemia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97BD05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2.59 (2.02–3.32); &lt;0.001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3B40EF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2.48 (1.93–3.19); &lt;0.001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36DBAD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1.88 (1.34–2.66); &lt;0.001</w:t>
            </w:r>
          </w:p>
        </w:tc>
        <w:tc>
          <w:tcPr>
            <w:tcW w:w="7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96674C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2.58 (2.02–3.29); &lt;0.001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05945F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2.47 (1.93–3.15); &lt;0.001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19B81C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1.83 (1.31–2.55); &lt;0.001</w:t>
            </w:r>
          </w:p>
        </w:tc>
      </w:tr>
      <w:tr w:rsidR="00314CFE" w:rsidRPr="002F5BDB" w14:paraId="75F5B571" w14:textId="77777777" w:rsidTr="002F5BDB">
        <w:trPr>
          <w:trHeight w:val="20"/>
        </w:trPr>
        <w:tc>
          <w:tcPr>
            <w:tcW w:w="77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C86782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Hemodynamic hypoperfusion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37A2B2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1.72 (1.43–2.07); &lt;0.001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69508C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1.61 (1.34–1.94); &lt;0.001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43CD95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1.11 (0.87–1.43); 0.402</w:t>
            </w:r>
          </w:p>
        </w:tc>
        <w:tc>
          <w:tcPr>
            <w:tcW w:w="72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32B099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1.67 (1.39–2.00); &lt;0.001</w:t>
            </w:r>
          </w:p>
        </w:tc>
        <w:tc>
          <w:tcPr>
            <w:tcW w:w="724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ADA92F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1.57 (1.30–1.88); &lt;0.001</w:t>
            </w:r>
          </w:p>
        </w:tc>
        <w:tc>
          <w:tcPr>
            <w:tcW w:w="66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40547B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1.05 (0.82–1.35); 0.683</w:t>
            </w:r>
          </w:p>
        </w:tc>
      </w:tr>
      <w:tr w:rsidR="00314CFE" w:rsidRPr="002F5BDB" w14:paraId="4C36756C" w14:textId="77777777" w:rsidTr="002F5BDB">
        <w:trPr>
          <w:trHeight w:val="20"/>
        </w:trPr>
        <w:tc>
          <w:tcPr>
            <w:tcW w:w="777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3EAA2E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Combined hypoperfusion</w:t>
            </w:r>
          </w:p>
        </w:tc>
        <w:tc>
          <w:tcPr>
            <w:tcW w:w="724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13A9E8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8.00 (6.68–9.58); &lt;0.001</w:t>
            </w:r>
          </w:p>
        </w:tc>
        <w:tc>
          <w:tcPr>
            <w:tcW w:w="724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6A2B96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7.52 (6.27–9.01); &lt;0.001</w:t>
            </w:r>
          </w:p>
        </w:tc>
        <w:tc>
          <w:tcPr>
            <w:tcW w:w="665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16C82D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3.15 (2.45–4.06); &lt;0.001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0A200A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7.82 (6.55–9.33); &lt;0.001</w:t>
            </w:r>
          </w:p>
        </w:tc>
        <w:tc>
          <w:tcPr>
            <w:tcW w:w="724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7C1A97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7.35 (6.15–8.78); &lt;0.001</w:t>
            </w:r>
          </w:p>
        </w:tc>
        <w:tc>
          <w:tcPr>
            <w:tcW w:w="665" w:type="pct"/>
            <w:tcBorders>
              <w:bottom w:val="single" w:sz="12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4EF8A" w14:textId="77777777" w:rsidR="00314CFE" w:rsidRPr="002F5BDB" w:rsidRDefault="00314CFE" w:rsidP="002F5BDB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3.02 (2.36–3.86); &lt;0.001</w:t>
            </w:r>
          </w:p>
        </w:tc>
      </w:tr>
    </w:tbl>
    <w:p w14:paraId="6043867A" w14:textId="510216AF" w:rsidR="00314CFE" w:rsidRDefault="00314CFE" w:rsidP="00314CFE">
      <w:pPr>
        <w:snapToGri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Values are odds ratios (95% confidence interval); P. Reference phenotype was the comparator in all models. Model 1: unadjusted. Model 2: adjusted for age and sex (N = 10,755 for ICU mortality, 10,691 for hospital mortality). Model 3: additionally adjusted for SOFA score, creatinine, and pH (N = 4,968 for ICU mortality, 4,944 for hospital mortality; reduced sample size reflects missing pH values, as already noted in the primary analysis). Definitions: hyperlactatemia, lactate ≥2 mmol/L; hemodynamic hypoperfusion (primary), MAP &lt;65 mm Hg or recorded vasopressor-category treatment; hemodynamic hypoperfusion (sensitivity), MAP &lt;65 mm Hg only. MAP, mean arterial pressure; OR, odds ratio; CI, confidence interval; SOFA, Sequential Organ Failure Assessment.</w:t>
      </w:r>
    </w:p>
    <w:sectPr w:rsidR="00314CFE" w:rsidSect="001616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059DD" w14:textId="77777777" w:rsidR="00D441D8" w:rsidRDefault="00D441D8" w:rsidP="002E7F3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607B361" w14:textId="77777777" w:rsidR="00D441D8" w:rsidRDefault="00D441D8" w:rsidP="002E7F3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C1DE" w14:textId="77777777" w:rsidR="002E7F3A" w:rsidRPr="00DD0425" w:rsidRDefault="002E7F3A">
    <w:pPr>
      <w:pStyle w:val="af1"/>
      <w:jc w:val="center"/>
      <w:rPr>
        <w:rFonts w:hint="eastAsia"/>
        <w:color w:val="4F81BD"/>
      </w:rPr>
    </w:pPr>
    <w:r w:rsidRPr="00DD0425">
      <w:rPr>
        <w:color w:val="4F81BD"/>
        <w:lang w:val="zh-CN"/>
      </w:rPr>
      <w:t xml:space="preserve"> </w:t>
    </w:r>
    <w:r w:rsidRPr="00DD0425">
      <w:rPr>
        <w:color w:val="4F81BD"/>
      </w:rPr>
      <w:fldChar w:fldCharType="begin"/>
    </w:r>
    <w:r w:rsidRPr="00DD0425">
      <w:rPr>
        <w:color w:val="4F81BD"/>
      </w:rPr>
      <w:instrText>PAGE  \* Arabic  \* MERGEFORMAT</w:instrText>
    </w:r>
    <w:r w:rsidRPr="00DD0425">
      <w:rPr>
        <w:color w:val="4F81BD"/>
      </w:rPr>
      <w:fldChar w:fldCharType="separate"/>
    </w:r>
    <w:r w:rsidRPr="00DD0425">
      <w:rPr>
        <w:color w:val="4F81BD"/>
        <w:lang w:val="zh-CN"/>
      </w:rPr>
      <w:t>2</w:t>
    </w:r>
    <w:r w:rsidRPr="00DD0425">
      <w:rPr>
        <w:color w:val="4F81BD"/>
      </w:rPr>
      <w:fldChar w:fldCharType="end"/>
    </w:r>
    <w:r w:rsidRPr="00DD0425">
      <w:rPr>
        <w:color w:val="4F81BD"/>
        <w:lang w:val="zh-CN"/>
      </w:rPr>
      <w:t xml:space="preserve"> / </w:t>
    </w:r>
    <w:r w:rsidRPr="00DD0425">
      <w:rPr>
        <w:color w:val="4F81BD"/>
      </w:rPr>
      <w:fldChar w:fldCharType="begin"/>
    </w:r>
    <w:r w:rsidRPr="00DD0425">
      <w:rPr>
        <w:color w:val="4F81BD"/>
      </w:rPr>
      <w:instrText>NUMPAGES  \* Arabic  \* MERGEFORMAT</w:instrText>
    </w:r>
    <w:r w:rsidRPr="00DD0425">
      <w:rPr>
        <w:color w:val="4F81BD"/>
      </w:rPr>
      <w:fldChar w:fldCharType="separate"/>
    </w:r>
    <w:r w:rsidRPr="00DD0425">
      <w:rPr>
        <w:color w:val="4F81BD"/>
        <w:lang w:val="zh-CN"/>
      </w:rPr>
      <w:t>2</w:t>
    </w:r>
    <w:r w:rsidRPr="00DD0425">
      <w:rPr>
        <w:color w:val="4F81BD"/>
      </w:rPr>
      <w:fldChar w:fldCharType="end"/>
    </w:r>
  </w:p>
  <w:p w14:paraId="15C84262" w14:textId="77777777" w:rsidR="002E7F3A" w:rsidRDefault="002E7F3A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523B" w14:textId="77777777" w:rsidR="00D441D8" w:rsidRDefault="00D441D8" w:rsidP="002E7F3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B14F8DF" w14:textId="77777777" w:rsidR="00D441D8" w:rsidRDefault="00D441D8" w:rsidP="002E7F3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E63"/>
    <w:multiLevelType w:val="hybridMultilevel"/>
    <w:tmpl w:val="E460F4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F0F1587"/>
    <w:multiLevelType w:val="hybridMultilevel"/>
    <w:tmpl w:val="CEAE8F54"/>
    <w:lvl w:ilvl="0" w:tplc="A35A6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598391">
    <w:abstractNumId w:val="0"/>
  </w:num>
  <w:num w:numId="2" w16cid:durableId="80577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2w9vv55d00z4epeewxtx0xxdeaetws0dwx&quot;&gt;My EndNote Library_20260507&lt;record-ids&gt;&lt;item&gt;1&lt;/item&gt;&lt;item&gt;2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2&lt;/item&gt;&lt;item&gt;23&lt;/item&gt;&lt;item&gt;24&lt;/item&gt;&lt;item&gt;25&lt;/item&gt;&lt;item&gt;26&lt;/item&gt;&lt;item&gt;28&lt;/item&gt;&lt;item&gt;29&lt;/item&gt;&lt;item&gt;30&lt;/item&gt;&lt;item&gt;31&lt;/item&gt;&lt;item&gt;32&lt;/item&gt;&lt;item&gt;33&lt;/item&gt;&lt;/record-ids&gt;&lt;/item&gt;&lt;/Libraries&gt;"/>
  </w:docVars>
  <w:rsids>
    <w:rsidRoot w:val="008F3043"/>
    <w:rsid w:val="00007C44"/>
    <w:rsid w:val="00012C1E"/>
    <w:rsid w:val="000174D1"/>
    <w:rsid w:val="00020BF0"/>
    <w:rsid w:val="000422F4"/>
    <w:rsid w:val="00043CBB"/>
    <w:rsid w:val="00056CBB"/>
    <w:rsid w:val="00060668"/>
    <w:rsid w:val="00070F35"/>
    <w:rsid w:val="000739F7"/>
    <w:rsid w:val="0008557E"/>
    <w:rsid w:val="000A07DD"/>
    <w:rsid w:val="000A60AA"/>
    <w:rsid w:val="000C0A1C"/>
    <w:rsid w:val="000C382F"/>
    <w:rsid w:val="000C5723"/>
    <w:rsid w:val="000F326E"/>
    <w:rsid w:val="000F5744"/>
    <w:rsid w:val="00111843"/>
    <w:rsid w:val="001219C1"/>
    <w:rsid w:val="0014710D"/>
    <w:rsid w:val="0015246E"/>
    <w:rsid w:val="00154899"/>
    <w:rsid w:val="001616E3"/>
    <w:rsid w:val="001635FF"/>
    <w:rsid w:val="001760B4"/>
    <w:rsid w:val="001820A9"/>
    <w:rsid w:val="001850BA"/>
    <w:rsid w:val="00185BA1"/>
    <w:rsid w:val="00187584"/>
    <w:rsid w:val="00196AD6"/>
    <w:rsid w:val="001A5626"/>
    <w:rsid w:val="001A6BC7"/>
    <w:rsid w:val="001A6FD6"/>
    <w:rsid w:val="001B39A6"/>
    <w:rsid w:val="001B7224"/>
    <w:rsid w:val="001E64C9"/>
    <w:rsid w:val="001F3A02"/>
    <w:rsid w:val="001F67BE"/>
    <w:rsid w:val="0020559A"/>
    <w:rsid w:val="00207FD8"/>
    <w:rsid w:val="002111C6"/>
    <w:rsid w:val="0023334F"/>
    <w:rsid w:val="002348AF"/>
    <w:rsid w:val="00242847"/>
    <w:rsid w:val="0025354F"/>
    <w:rsid w:val="002543D3"/>
    <w:rsid w:val="00257408"/>
    <w:rsid w:val="00265571"/>
    <w:rsid w:val="00266807"/>
    <w:rsid w:val="00267F31"/>
    <w:rsid w:val="00280FD8"/>
    <w:rsid w:val="002B753A"/>
    <w:rsid w:val="002C74E3"/>
    <w:rsid w:val="002E1CF8"/>
    <w:rsid w:val="002E7F3A"/>
    <w:rsid w:val="002F137D"/>
    <w:rsid w:val="002F5818"/>
    <w:rsid w:val="002F5BDB"/>
    <w:rsid w:val="0030252C"/>
    <w:rsid w:val="00302D54"/>
    <w:rsid w:val="00314CFE"/>
    <w:rsid w:val="00332EF5"/>
    <w:rsid w:val="00334961"/>
    <w:rsid w:val="00335C0B"/>
    <w:rsid w:val="00371A31"/>
    <w:rsid w:val="003748A7"/>
    <w:rsid w:val="00382861"/>
    <w:rsid w:val="0038437B"/>
    <w:rsid w:val="003A3D51"/>
    <w:rsid w:val="003A54C8"/>
    <w:rsid w:val="003A7B76"/>
    <w:rsid w:val="003C4C1E"/>
    <w:rsid w:val="003C4FBC"/>
    <w:rsid w:val="003E2000"/>
    <w:rsid w:val="003E617F"/>
    <w:rsid w:val="003F0624"/>
    <w:rsid w:val="003F4342"/>
    <w:rsid w:val="003F4D65"/>
    <w:rsid w:val="004056FF"/>
    <w:rsid w:val="00410CDF"/>
    <w:rsid w:val="004148D9"/>
    <w:rsid w:val="00415418"/>
    <w:rsid w:val="004162F7"/>
    <w:rsid w:val="00417190"/>
    <w:rsid w:val="00424C24"/>
    <w:rsid w:val="00430A0E"/>
    <w:rsid w:val="00432D8A"/>
    <w:rsid w:val="004377F6"/>
    <w:rsid w:val="0045199B"/>
    <w:rsid w:val="00465498"/>
    <w:rsid w:val="00470978"/>
    <w:rsid w:val="004970D9"/>
    <w:rsid w:val="004B39E5"/>
    <w:rsid w:val="004B5131"/>
    <w:rsid w:val="004E7DB6"/>
    <w:rsid w:val="004F1A41"/>
    <w:rsid w:val="004F58B9"/>
    <w:rsid w:val="00500900"/>
    <w:rsid w:val="00513148"/>
    <w:rsid w:val="005211A0"/>
    <w:rsid w:val="0052412D"/>
    <w:rsid w:val="00526F05"/>
    <w:rsid w:val="00531CC8"/>
    <w:rsid w:val="00540B3D"/>
    <w:rsid w:val="00543E81"/>
    <w:rsid w:val="00564266"/>
    <w:rsid w:val="00575403"/>
    <w:rsid w:val="00585EB7"/>
    <w:rsid w:val="00586269"/>
    <w:rsid w:val="0059210A"/>
    <w:rsid w:val="00592182"/>
    <w:rsid w:val="005C6B7F"/>
    <w:rsid w:val="005D0900"/>
    <w:rsid w:val="005E38A9"/>
    <w:rsid w:val="005F0AEA"/>
    <w:rsid w:val="005F391A"/>
    <w:rsid w:val="006057A8"/>
    <w:rsid w:val="00644DFF"/>
    <w:rsid w:val="0066108C"/>
    <w:rsid w:val="00662379"/>
    <w:rsid w:val="00670656"/>
    <w:rsid w:val="00684E6F"/>
    <w:rsid w:val="006B44AC"/>
    <w:rsid w:val="006B7712"/>
    <w:rsid w:val="006D143C"/>
    <w:rsid w:val="006D6CC8"/>
    <w:rsid w:val="006E4B94"/>
    <w:rsid w:val="006F11F4"/>
    <w:rsid w:val="007103A6"/>
    <w:rsid w:val="00723E13"/>
    <w:rsid w:val="007259D1"/>
    <w:rsid w:val="00745618"/>
    <w:rsid w:val="0074675B"/>
    <w:rsid w:val="0074772B"/>
    <w:rsid w:val="00775FE7"/>
    <w:rsid w:val="007A073F"/>
    <w:rsid w:val="007A11DD"/>
    <w:rsid w:val="007C22FC"/>
    <w:rsid w:val="007D154A"/>
    <w:rsid w:val="007D6B7F"/>
    <w:rsid w:val="007E5758"/>
    <w:rsid w:val="007E70C8"/>
    <w:rsid w:val="007F08BA"/>
    <w:rsid w:val="007F2720"/>
    <w:rsid w:val="007F6A20"/>
    <w:rsid w:val="00833F26"/>
    <w:rsid w:val="008548C3"/>
    <w:rsid w:val="008557E9"/>
    <w:rsid w:val="00864C88"/>
    <w:rsid w:val="00867182"/>
    <w:rsid w:val="008741C6"/>
    <w:rsid w:val="00892618"/>
    <w:rsid w:val="00893D2F"/>
    <w:rsid w:val="008A544A"/>
    <w:rsid w:val="008B3309"/>
    <w:rsid w:val="008C7C00"/>
    <w:rsid w:val="008F3043"/>
    <w:rsid w:val="009221E4"/>
    <w:rsid w:val="00923D45"/>
    <w:rsid w:val="0092432E"/>
    <w:rsid w:val="009373DD"/>
    <w:rsid w:val="00946925"/>
    <w:rsid w:val="00947ABB"/>
    <w:rsid w:val="00950496"/>
    <w:rsid w:val="00951E1B"/>
    <w:rsid w:val="00956505"/>
    <w:rsid w:val="009571A2"/>
    <w:rsid w:val="00957F06"/>
    <w:rsid w:val="00975FA1"/>
    <w:rsid w:val="00985472"/>
    <w:rsid w:val="00985CC6"/>
    <w:rsid w:val="00994079"/>
    <w:rsid w:val="009A102D"/>
    <w:rsid w:val="009A3D62"/>
    <w:rsid w:val="009A60B4"/>
    <w:rsid w:val="009A760F"/>
    <w:rsid w:val="009B0BEC"/>
    <w:rsid w:val="009C7EA7"/>
    <w:rsid w:val="009D38DE"/>
    <w:rsid w:val="009D5C78"/>
    <w:rsid w:val="009D5F41"/>
    <w:rsid w:val="009D7710"/>
    <w:rsid w:val="009E455D"/>
    <w:rsid w:val="009F7787"/>
    <w:rsid w:val="00A13FC0"/>
    <w:rsid w:val="00A20113"/>
    <w:rsid w:val="00A23550"/>
    <w:rsid w:val="00A30203"/>
    <w:rsid w:val="00A313BF"/>
    <w:rsid w:val="00A43128"/>
    <w:rsid w:val="00A5650B"/>
    <w:rsid w:val="00A57D3F"/>
    <w:rsid w:val="00A95227"/>
    <w:rsid w:val="00A9789F"/>
    <w:rsid w:val="00AA00A6"/>
    <w:rsid w:val="00AA5B4A"/>
    <w:rsid w:val="00AB19E1"/>
    <w:rsid w:val="00AB5561"/>
    <w:rsid w:val="00AC0B7B"/>
    <w:rsid w:val="00AD02F1"/>
    <w:rsid w:val="00AE4877"/>
    <w:rsid w:val="00AE767D"/>
    <w:rsid w:val="00B30A3C"/>
    <w:rsid w:val="00B55BD4"/>
    <w:rsid w:val="00B64CB5"/>
    <w:rsid w:val="00B76275"/>
    <w:rsid w:val="00B77729"/>
    <w:rsid w:val="00BB13DF"/>
    <w:rsid w:val="00BB273F"/>
    <w:rsid w:val="00BC3A4E"/>
    <w:rsid w:val="00BE4FF3"/>
    <w:rsid w:val="00C035FE"/>
    <w:rsid w:val="00C056E9"/>
    <w:rsid w:val="00C05F6A"/>
    <w:rsid w:val="00C125DD"/>
    <w:rsid w:val="00C30256"/>
    <w:rsid w:val="00C32A08"/>
    <w:rsid w:val="00C332E8"/>
    <w:rsid w:val="00C474F8"/>
    <w:rsid w:val="00C7237E"/>
    <w:rsid w:val="00C84391"/>
    <w:rsid w:val="00C931A8"/>
    <w:rsid w:val="00CA4C43"/>
    <w:rsid w:val="00CB25F6"/>
    <w:rsid w:val="00CC3FD8"/>
    <w:rsid w:val="00CE52CF"/>
    <w:rsid w:val="00CE6A49"/>
    <w:rsid w:val="00CF0105"/>
    <w:rsid w:val="00D130ED"/>
    <w:rsid w:val="00D16F4B"/>
    <w:rsid w:val="00D27F44"/>
    <w:rsid w:val="00D34A9A"/>
    <w:rsid w:val="00D441D8"/>
    <w:rsid w:val="00D754AE"/>
    <w:rsid w:val="00D858FB"/>
    <w:rsid w:val="00D91D2C"/>
    <w:rsid w:val="00D922E5"/>
    <w:rsid w:val="00D95733"/>
    <w:rsid w:val="00D957AD"/>
    <w:rsid w:val="00DB2928"/>
    <w:rsid w:val="00DD0425"/>
    <w:rsid w:val="00DD2985"/>
    <w:rsid w:val="00DD339F"/>
    <w:rsid w:val="00DE6007"/>
    <w:rsid w:val="00DF4A34"/>
    <w:rsid w:val="00E14DFE"/>
    <w:rsid w:val="00E16E97"/>
    <w:rsid w:val="00E172BC"/>
    <w:rsid w:val="00E27895"/>
    <w:rsid w:val="00E309A1"/>
    <w:rsid w:val="00E61CB0"/>
    <w:rsid w:val="00E66223"/>
    <w:rsid w:val="00E91ADF"/>
    <w:rsid w:val="00EA159C"/>
    <w:rsid w:val="00EB77E6"/>
    <w:rsid w:val="00EC350C"/>
    <w:rsid w:val="00EE55AB"/>
    <w:rsid w:val="00F016C9"/>
    <w:rsid w:val="00F01DC6"/>
    <w:rsid w:val="00F12023"/>
    <w:rsid w:val="00F41A98"/>
    <w:rsid w:val="00F74701"/>
    <w:rsid w:val="00F7752F"/>
    <w:rsid w:val="00F8016D"/>
    <w:rsid w:val="00F831B7"/>
    <w:rsid w:val="00F904BB"/>
    <w:rsid w:val="00F93121"/>
    <w:rsid w:val="00F971B3"/>
    <w:rsid w:val="00FA5F24"/>
    <w:rsid w:val="00FB69EA"/>
    <w:rsid w:val="00FB7C36"/>
    <w:rsid w:val="00FC12DC"/>
    <w:rsid w:val="00FD6320"/>
    <w:rsid w:val="00FE5A3B"/>
    <w:rsid w:val="00FF246E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1C75AA"/>
  <w15:chartTrackingRefBased/>
  <w15:docId w15:val="{DC351925-731E-45C2-AF36-67E31368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E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30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0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04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04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04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04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04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04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04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3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3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304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304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F304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30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30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30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304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F3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04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F30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3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F30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30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304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3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F304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F3043"/>
    <w:rPr>
      <w:b/>
      <w:bCs/>
      <w:smallCaps/>
      <w:color w:val="2F5496" w:themeColor="accent1" w:themeShade="BF"/>
      <w:spacing w:val="5"/>
    </w:rPr>
  </w:style>
  <w:style w:type="character" w:styleId="ae">
    <w:name w:val="line number"/>
    <w:basedOn w:val="a0"/>
    <w:uiPriority w:val="99"/>
    <w:semiHidden/>
    <w:unhideWhenUsed/>
    <w:rsid w:val="008F3043"/>
  </w:style>
  <w:style w:type="paragraph" w:styleId="af">
    <w:name w:val="header"/>
    <w:basedOn w:val="a"/>
    <w:link w:val="af0"/>
    <w:uiPriority w:val="99"/>
    <w:unhideWhenUsed/>
    <w:rsid w:val="002E7F3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E7F3A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2E7F3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E7F3A"/>
    <w:rPr>
      <w:sz w:val="18"/>
      <w:szCs w:val="18"/>
    </w:rPr>
  </w:style>
  <w:style w:type="table" w:customStyle="1" w:styleId="11">
    <w:name w:val="网格型1"/>
    <w:basedOn w:val="a1"/>
    <w:next w:val="af3"/>
    <w:uiPriority w:val="59"/>
    <w:rsid w:val="00C931A8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C93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f3"/>
    <w:uiPriority w:val="59"/>
    <w:rsid w:val="00C931A8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f3"/>
    <w:uiPriority w:val="59"/>
    <w:rsid w:val="000422F4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1"/>
    <w:next w:val="af3"/>
    <w:uiPriority w:val="59"/>
    <w:rsid w:val="000422F4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Custom1">
    <w:name w:val="HeadingCustom1"/>
    <w:rsid w:val="00CA4C43"/>
    <w:pPr>
      <w:spacing w:after="200" w:line="276" w:lineRule="auto"/>
    </w:pPr>
    <w:rPr>
      <w:rFonts w:ascii="Times New Roman" w:eastAsia="Times New Roman" w:hAnsi="Times New Roman"/>
      <w:b/>
      <w:kern w:val="0"/>
      <w:sz w:val="26"/>
      <w:szCs w:val="22"/>
      <w:lang w:eastAsia="en-US"/>
      <w14:ligatures w14:val="none"/>
    </w:rPr>
  </w:style>
  <w:style w:type="table" w:customStyle="1" w:styleId="51">
    <w:name w:val="网格型5"/>
    <w:basedOn w:val="a1"/>
    <w:next w:val="af3"/>
    <w:uiPriority w:val="59"/>
    <w:rsid w:val="004B39E5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网格型6"/>
    <w:basedOn w:val="a1"/>
    <w:next w:val="af3"/>
    <w:uiPriority w:val="59"/>
    <w:rsid w:val="003C4FBC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网格型7"/>
    <w:basedOn w:val="a1"/>
    <w:next w:val="af3"/>
    <w:uiPriority w:val="59"/>
    <w:rsid w:val="003C4FBC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280FD8"/>
    <w:pPr>
      <w:spacing w:after="0" w:line="240" w:lineRule="auto"/>
    </w:pPr>
  </w:style>
  <w:style w:type="character" w:styleId="af5">
    <w:name w:val="annotation reference"/>
    <w:basedOn w:val="a0"/>
    <w:uiPriority w:val="99"/>
    <w:semiHidden/>
    <w:unhideWhenUsed/>
    <w:rsid w:val="00280FD8"/>
    <w:rPr>
      <w:sz w:val="21"/>
      <w:szCs w:val="21"/>
    </w:rPr>
  </w:style>
  <w:style w:type="paragraph" w:styleId="af6">
    <w:name w:val="annotation text"/>
    <w:basedOn w:val="a"/>
    <w:link w:val="af7"/>
    <w:uiPriority w:val="99"/>
    <w:unhideWhenUsed/>
    <w:rsid w:val="00280FD8"/>
  </w:style>
  <w:style w:type="character" w:customStyle="1" w:styleId="af7">
    <w:name w:val="批注文字 字符"/>
    <w:basedOn w:val="a0"/>
    <w:link w:val="af6"/>
    <w:uiPriority w:val="99"/>
    <w:rsid w:val="00280FD8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280FD8"/>
    <w:rPr>
      <w:b/>
      <w:bCs/>
    </w:rPr>
  </w:style>
  <w:style w:type="character" w:customStyle="1" w:styleId="af9">
    <w:name w:val="批注主题 字符"/>
    <w:basedOn w:val="af7"/>
    <w:link w:val="af8"/>
    <w:uiPriority w:val="99"/>
    <w:semiHidden/>
    <w:rsid w:val="00280FD8"/>
    <w:rPr>
      <w:b/>
      <w:bCs/>
    </w:rPr>
  </w:style>
  <w:style w:type="character" w:styleId="afa">
    <w:name w:val="Hyperlink"/>
    <w:basedOn w:val="a0"/>
    <w:uiPriority w:val="99"/>
    <w:unhideWhenUsed/>
    <w:rsid w:val="00465498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5211A0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4148D9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4148D9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4148D9"/>
    <w:pPr>
      <w:spacing w:line="240" w:lineRule="auto"/>
      <w:jc w:val="both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4148D9"/>
    <w:rPr>
      <w:rFonts w:ascii="等线" w:eastAsia="等线" w:hAnsi="等线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7EEF8-1252-48C2-B801-ACD75B2F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12</Pages>
  <Words>1658</Words>
  <Characters>10282</Characters>
  <Application>Microsoft Office Word</Application>
  <DocSecurity>0</DocSecurity>
  <Lines>321</Lines>
  <Paragraphs>198</Paragraphs>
  <ScaleCrop>false</ScaleCrop>
  <Company/>
  <LinksUpToDate>false</LinksUpToDate>
  <CharactersWithSpaces>11742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Xinlei He</dc:creator>
  <cp:keywords/>
  <dc:description/>
  <cp:lastModifiedBy>Xinlei He</cp:lastModifiedBy>
  <cp:revision>161</cp:revision>
  <cp:lastPrinted>2026-05-07T00:02:00Z</cp:lastPrinted>
  <dcterms:created xsi:type="dcterms:W3CDTF">2026-04-08T04:08:00Z</dcterms:created>
  <dcterms:modified xsi:type="dcterms:W3CDTF">2026-05-09T06:25:00Z</dcterms:modified>
</cp:coreProperties>
</file>