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A5CF" w14:textId="3BB5EA73" w:rsidR="002B4A2D" w:rsidRDefault="002B4A2D" w:rsidP="002B4A2D">
      <w:pPr>
        <w:keepNext/>
        <w:keepLines/>
        <w:spacing w:before="80" w:after="0" w:line="240" w:lineRule="auto"/>
        <w:outlineLvl w:val="1"/>
        <w:rPr>
          <w:rFonts w:ascii="Arial" w:eastAsia="Times New Roman" w:hAnsi="Arial" w:cs="Times New Roman"/>
          <w:kern w:val="0"/>
          <w:sz w:val="28"/>
          <w:szCs w:val="28"/>
          <w:lang w:val="en-US" w:eastAsia="sv-SE"/>
          <w14:ligatures w14:val="none"/>
        </w:rPr>
      </w:pPr>
      <w:r>
        <w:rPr>
          <w:rFonts w:ascii="Arial" w:eastAsia="Times New Roman" w:hAnsi="Arial" w:cs="Times New Roman"/>
          <w:kern w:val="0"/>
          <w:sz w:val="28"/>
          <w:szCs w:val="28"/>
          <w:lang w:val="en-US" w:eastAsia="sv-SE"/>
          <w14:ligatures w14:val="none"/>
        </w:rPr>
        <w:t xml:space="preserve">Supplementary </w:t>
      </w:r>
      <w:r w:rsidR="00342C89">
        <w:rPr>
          <w:rFonts w:ascii="Arial" w:eastAsia="Times New Roman" w:hAnsi="Arial" w:cs="Times New Roman"/>
          <w:kern w:val="0"/>
          <w:sz w:val="28"/>
          <w:szCs w:val="28"/>
          <w:lang w:val="en-US" w:eastAsia="sv-SE"/>
          <w14:ligatures w14:val="none"/>
        </w:rPr>
        <w:t>figures</w:t>
      </w:r>
    </w:p>
    <w:p w14:paraId="1867A69E" w14:textId="77777777" w:rsidR="002B4A2D" w:rsidRDefault="002B4A2D" w:rsidP="002B4A2D">
      <w:pPr>
        <w:spacing w:after="0" w:line="240" w:lineRule="auto"/>
        <w:rPr>
          <w:rFonts w:ascii="Times New Roman" w:eastAsia="Times New Roman" w:hAnsi="Times New Roman" w:cs="Times New Roman"/>
          <w:kern w:val="0"/>
          <w:sz w:val="32"/>
          <w:szCs w:val="32"/>
          <w:lang w:val="en-US" w:eastAsia="sv-SE"/>
          <w14:ligatures w14:val="none"/>
        </w:rPr>
      </w:pPr>
    </w:p>
    <w:p w14:paraId="6EBBF1E1" w14:textId="34EF3AD4" w:rsidR="00FC07C4" w:rsidRDefault="00FC07C4" w:rsidP="002B4A2D">
      <w:pPr>
        <w:spacing w:after="0" w:line="240" w:lineRule="auto"/>
        <w:rPr>
          <w:rFonts w:ascii="Times New Roman" w:eastAsia="Times New Roman" w:hAnsi="Times New Roman" w:cs="Times New Roman"/>
          <w:kern w:val="0"/>
          <w:sz w:val="32"/>
          <w:szCs w:val="32"/>
          <w:lang w:val="en-US" w:eastAsia="sv-SE"/>
          <w14:ligatures w14:val="none"/>
        </w:rPr>
      </w:pPr>
      <w:r>
        <w:object w:dxaOrig="7241" w:dyaOrig="5194" w14:anchorId="5C49A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65pt;height:200.1pt" o:ole="">
            <v:imagedata r:id="rId4" o:title=""/>
          </v:shape>
          <o:OLEObject Type="Embed" ProgID="Prism10.Document" ShapeID="_x0000_i1025" DrawAspect="Content" ObjectID="_1835803617" r:id="rId5"/>
        </w:object>
      </w:r>
    </w:p>
    <w:p w14:paraId="4869667E" w14:textId="77777777" w:rsidR="00FC07C4" w:rsidRPr="002B4A2D" w:rsidRDefault="00FC07C4" w:rsidP="002B4A2D">
      <w:pPr>
        <w:spacing w:after="0" w:line="240" w:lineRule="auto"/>
        <w:rPr>
          <w:rFonts w:ascii="Times New Roman" w:eastAsia="Times New Roman" w:hAnsi="Times New Roman" w:cs="Times New Roman"/>
          <w:kern w:val="0"/>
          <w:sz w:val="32"/>
          <w:szCs w:val="32"/>
          <w:lang w:val="en-US" w:eastAsia="sv-SE"/>
          <w14:ligatures w14:val="none"/>
        </w:rPr>
      </w:pPr>
    </w:p>
    <w:p w14:paraId="21D3A3CD" w14:textId="1BD87552" w:rsidR="00342C89" w:rsidRDefault="002B4A2D" w:rsidP="00283686">
      <w:pPr>
        <w:keepNext/>
        <w:keepLines/>
        <w:spacing w:before="80" w:after="0" w:line="240" w:lineRule="auto"/>
        <w:outlineLvl w:val="2"/>
        <w:rPr>
          <w:rFonts w:ascii="Times New Roman" w:eastAsia="Times New Roman" w:hAnsi="Times New Roman" w:cs="Times New Roman"/>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1. Number of samples collected at different time intervals after primary vaccination and booster doses</w:t>
      </w:r>
      <w:r w:rsidR="00283686">
        <w:rPr>
          <w:rFonts w:ascii="Times New Roman" w:eastAsia="Times New Roman" w:hAnsi="Times New Roman" w:cs="Times New Roman"/>
          <w:b/>
          <w:bCs/>
          <w:kern w:val="0"/>
          <w:lang w:val="en-US" w:eastAsia="sv-SE"/>
          <w14:ligatures w14:val="none"/>
        </w:rPr>
        <w:t xml:space="preserve">. </w:t>
      </w:r>
      <w:r w:rsidR="00283686">
        <w:rPr>
          <w:rFonts w:ascii="Times New Roman" w:eastAsia="Times New Roman" w:hAnsi="Times New Roman" w:cs="Times New Roman"/>
          <w:b/>
          <w:bCs/>
          <w:kern w:val="0"/>
          <w:lang w:val="en-US" w:eastAsia="sv-SE"/>
          <w14:ligatures w14:val="none"/>
        </w:rPr>
        <w:br/>
      </w:r>
      <w:r w:rsidRPr="002B4A2D">
        <w:rPr>
          <w:rFonts w:ascii="Times New Roman" w:eastAsia="Times New Roman" w:hAnsi="Times New Roman" w:cs="Times New Roman"/>
          <w:kern w:val="0"/>
          <w:lang w:val="en-US" w:eastAsia="sv-SE"/>
          <w14:ligatures w14:val="none"/>
        </w:rPr>
        <w:t xml:space="preserve">The diagram shows the number of samples collected at each time interval during the study period following primary SARS-CoV-2 vaccination and subsequent booster doses. If more than one sample was obtained from the same patient within a given time interval. Only the first </w:t>
      </w:r>
      <w:proofErr w:type="gramStart"/>
      <w:r w:rsidRPr="002B4A2D">
        <w:rPr>
          <w:rFonts w:ascii="Times New Roman" w:eastAsia="Times New Roman" w:hAnsi="Times New Roman" w:cs="Times New Roman"/>
          <w:kern w:val="0"/>
          <w:lang w:val="en-US" w:eastAsia="sv-SE"/>
          <w14:ligatures w14:val="none"/>
        </w:rPr>
        <w:t>collected sample</w:t>
      </w:r>
      <w:proofErr w:type="gramEnd"/>
      <w:r w:rsidRPr="002B4A2D">
        <w:rPr>
          <w:rFonts w:ascii="Times New Roman" w:eastAsia="Times New Roman" w:hAnsi="Times New Roman" w:cs="Times New Roman"/>
          <w:kern w:val="0"/>
          <w:lang w:val="en-US" w:eastAsia="sv-SE"/>
          <w14:ligatures w14:val="none"/>
        </w:rPr>
        <w:t xml:space="preserve"> was included in the analysis.</w:t>
      </w:r>
    </w:p>
    <w:p w14:paraId="59915C79" w14:textId="77777777" w:rsidR="00342C89" w:rsidRDefault="00342C89">
      <w:pPr>
        <w:rPr>
          <w:rFonts w:ascii="Times New Roman" w:eastAsia="Times New Roman" w:hAnsi="Times New Roman" w:cs="Times New Roman"/>
          <w:kern w:val="0"/>
          <w:lang w:val="en-US" w:eastAsia="sv-SE"/>
          <w14:ligatures w14:val="none"/>
        </w:rPr>
      </w:pPr>
      <w:r>
        <w:rPr>
          <w:rFonts w:ascii="Times New Roman" w:eastAsia="Times New Roman" w:hAnsi="Times New Roman" w:cs="Times New Roman"/>
          <w:kern w:val="0"/>
          <w:lang w:val="en-US" w:eastAsia="sv-SE"/>
          <w14:ligatures w14:val="none"/>
        </w:rPr>
        <w:br w:type="page"/>
      </w:r>
    </w:p>
    <w:p w14:paraId="693AFA86" w14:textId="4F3FB1B5" w:rsidR="002B4A2D" w:rsidRDefault="002B4A2D" w:rsidP="00FC07C4">
      <w:pPr>
        <w:spacing w:after="0" w:line="240" w:lineRule="auto"/>
        <w:rPr>
          <w:rFonts w:ascii="Times New Roman" w:eastAsia="Times New Roman" w:hAnsi="Times New Roman" w:cs="Times New Roman"/>
          <w:kern w:val="0"/>
          <w:lang w:val="en-US" w:eastAsia="sv-SE"/>
          <w14:ligatures w14:val="none"/>
        </w:rPr>
      </w:pPr>
      <w:r w:rsidRPr="002B4A2D">
        <w:rPr>
          <w:rFonts w:ascii="Times New Roman" w:eastAsia="Times New Roman" w:hAnsi="Times New Roman" w:cs="Times New Roman"/>
          <w:kern w:val="0"/>
          <w:lang w:val="en-US" w:eastAsia="sv-SE"/>
          <w14:ligatures w14:val="none"/>
        </w:rPr>
        <w:lastRenderedPageBreak/>
        <w:br/>
      </w:r>
    </w:p>
    <w:p w14:paraId="63431D09" w14:textId="12C686FD" w:rsidR="00FC07C4" w:rsidRPr="002B4A2D" w:rsidRDefault="00342C89" w:rsidP="002B4A2D">
      <w:pPr>
        <w:spacing w:after="0" w:line="480" w:lineRule="auto"/>
        <w:rPr>
          <w:rFonts w:ascii="Times New Roman" w:eastAsia="Times New Roman" w:hAnsi="Times New Roman" w:cs="Times New Roman"/>
          <w:kern w:val="0"/>
          <w:lang w:val="en-US" w:eastAsia="sv-SE"/>
          <w14:ligatures w14:val="none"/>
        </w:rPr>
      </w:pPr>
      <w:r>
        <w:object w:dxaOrig="15444" w:dyaOrig="5710" w14:anchorId="58DF18ED">
          <v:shape id="_x0000_i1026" type="#_x0000_t75" style="width:509.85pt;height:188.35pt" o:ole="">
            <v:imagedata r:id="rId6" o:title=""/>
          </v:shape>
          <o:OLEObject Type="Embed" ProgID="Prism10.Document" ShapeID="_x0000_i1026" DrawAspect="Content" ObjectID="_1835803618" r:id="rId7"/>
        </w:object>
      </w:r>
    </w:p>
    <w:p w14:paraId="0CF495D5" w14:textId="5A19926B" w:rsidR="00342C89" w:rsidRPr="00283686" w:rsidRDefault="002B4A2D" w:rsidP="00283686">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2. Time to last positive or first negative anti-spike sample according to B-cell count at primary vaccination.</w:t>
      </w:r>
      <w:r w:rsidR="00283686">
        <w:rPr>
          <w:rFonts w:ascii="Times New Roman" w:eastAsia="Times New Roman" w:hAnsi="Times New Roman" w:cs="Times New Roman"/>
          <w:b/>
          <w:bCs/>
          <w:kern w:val="0"/>
          <w:lang w:val="en-US" w:eastAsia="sv-SE"/>
          <w14:ligatures w14:val="none"/>
        </w:rPr>
        <w:br/>
      </w:r>
      <w:r w:rsidRPr="002B4A2D">
        <w:rPr>
          <w:rFonts w:ascii="Times New Roman" w:eastAsia="Times New Roman" w:hAnsi="Times New Roman" w:cs="Times New Roman"/>
          <w:kern w:val="0"/>
          <w:lang w:val="en-US" w:eastAsia="sv-SE"/>
          <w14:ligatures w14:val="none"/>
        </w:rPr>
        <w:t>The figure shows the time to the last positive anti-spike (anti-S) sample (black circles) and the time to the first negative anti-S sample (red crosses) between primary vaccination and first booster in patients treated with rituximab (RTX) stratified by B-cell count at primary vaccination (≥40/µL vs &lt;40/µL). There was no statistically significant difference between the groups with respect to either time to last positive or time to first negative sample.</w:t>
      </w:r>
    </w:p>
    <w:p w14:paraId="21CBC08A" w14:textId="77777777" w:rsidR="00342C89" w:rsidRDefault="00342C89">
      <w:pPr>
        <w:rPr>
          <w:rFonts w:ascii="Times New Roman" w:eastAsia="Times New Roman" w:hAnsi="Times New Roman" w:cs="Times New Roman"/>
          <w:kern w:val="0"/>
          <w:lang w:val="en-US" w:eastAsia="sv-SE"/>
          <w14:ligatures w14:val="none"/>
        </w:rPr>
      </w:pPr>
      <w:r>
        <w:rPr>
          <w:rFonts w:ascii="Times New Roman" w:eastAsia="Times New Roman" w:hAnsi="Times New Roman" w:cs="Times New Roman"/>
          <w:kern w:val="0"/>
          <w:lang w:val="en-US" w:eastAsia="sv-SE"/>
          <w14:ligatures w14:val="none"/>
        </w:rPr>
        <w:br w:type="page"/>
      </w:r>
    </w:p>
    <w:p w14:paraId="615DE4F2" w14:textId="25019A31" w:rsidR="00FC07C4" w:rsidRPr="002B4A2D" w:rsidRDefault="00342C89" w:rsidP="00FC07C4">
      <w:pPr>
        <w:spacing w:after="0" w:line="240" w:lineRule="auto"/>
        <w:rPr>
          <w:rFonts w:ascii="Times New Roman" w:eastAsia="Times New Roman" w:hAnsi="Times New Roman" w:cs="Times New Roman"/>
          <w:kern w:val="0"/>
          <w:lang w:val="en-US" w:eastAsia="sv-SE"/>
          <w14:ligatures w14:val="none"/>
        </w:rPr>
      </w:pPr>
      <w:r>
        <w:object w:dxaOrig="8220" w:dyaOrig="5638" w14:anchorId="3E2E6BDF">
          <v:shape id="_x0000_i1027" type="#_x0000_t75" style="width:437pt;height:299.7pt" o:ole="">
            <v:imagedata r:id="rId8" o:title=""/>
          </v:shape>
          <o:OLEObject Type="Embed" ProgID="Prism10.Document" ShapeID="_x0000_i1027" DrawAspect="Content" ObjectID="_1835803619" r:id="rId9"/>
        </w:object>
      </w:r>
    </w:p>
    <w:p w14:paraId="02B3084E" w14:textId="49421F22" w:rsidR="002B4A2D" w:rsidRPr="002B4A2D" w:rsidRDefault="002B4A2D"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3. Anti-spike antibody levels after primary vaccination and first booster in relation to rituximab treatment status.</w:t>
      </w:r>
    </w:p>
    <w:p w14:paraId="29524093" w14:textId="77777777" w:rsidR="002B4A2D" w:rsidRPr="002B4A2D" w:rsidRDefault="002B4A2D" w:rsidP="00FC07C4">
      <w:pPr>
        <w:spacing w:after="0" w:line="240" w:lineRule="auto"/>
        <w:rPr>
          <w:rFonts w:ascii="Times New Roman" w:eastAsia="Times New Roman" w:hAnsi="Times New Roman" w:cs="Times New Roman"/>
          <w:kern w:val="0"/>
          <w:lang w:val="en-US" w:eastAsia="sv-SE"/>
          <w14:ligatures w14:val="none"/>
        </w:rPr>
      </w:pPr>
      <w:r w:rsidRPr="002B4A2D">
        <w:rPr>
          <w:rFonts w:ascii="Times New Roman" w:eastAsia="Times New Roman" w:hAnsi="Times New Roman" w:cs="Times New Roman"/>
          <w:kern w:val="0"/>
          <w:lang w:val="en-US" w:eastAsia="sv-SE"/>
          <w14:ligatures w14:val="none"/>
        </w:rPr>
        <w:t>Anti-spike (anti-S) IgG levels measured 1–9 weeks after primary vaccination (a) and 1–9 weeks after the first booster dose (b) in patients receiving rituximab (RTX) treatment at the time of primary vaccination and in patients who initiated RTX treatment after primary vaccination. Group comparisons were performed using the Mann–Whitney U test.</w:t>
      </w:r>
    </w:p>
    <w:p w14:paraId="53840FA2" w14:textId="77777777" w:rsidR="002B4A2D" w:rsidRPr="002B4A2D" w:rsidRDefault="002B4A2D" w:rsidP="00FC07C4">
      <w:pPr>
        <w:spacing w:after="0" w:line="240" w:lineRule="auto"/>
        <w:rPr>
          <w:rFonts w:ascii="Times New Roman" w:eastAsia="Times New Roman" w:hAnsi="Times New Roman" w:cs="Times New Roman"/>
          <w:kern w:val="0"/>
          <w:lang w:val="en-US" w:eastAsia="sv-SE"/>
          <w14:ligatures w14:val="none"/>
        </w:rPr>
      </w:pPr>
    </w:p>
    <w:p w14:paraId="3690D138" w14:textId="77777777" w:rsidR="00342C89" w:rsidRDefault="00342C89"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p>
    <w:p w14:paraId="4771193B" w14:textId="658DE81E" w:rsidR="00342C89" w:rsidRDefault="00342C89"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object w:dxaOrig="10346" w:dyaOrig="10841" w14:anchorId="23E4B626">
          <v:shape id="_x0000_i1028" type="#_x0000_t75" style="width:451.25pt;height:473pt" o:ole="">
            <v:imagedata r:id="rId10" o:title=""/>
          </v:shape>
          <o:OLEObject Type="Embed" ProgID="Prism10.Document" ShapeID="_x0000_i1028" DrawAspect="Content" ObjectID="_1835803620" r:id="rId11"/>
        </w:object>
      </w:r>
    </w:p>
    <w:p w14:paraId="0C58AE98" w14:textId="6CB71A19" w:rsidR="002B4A2D" w:rsidRPr="002B4A2D" w:rsidRDefault="002B4A2D"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4. Correlations between anti-spike levels and functional or antigen-specific antibody measures.</w:t>
      </w:r>
    </w:p>
    <w:p w14:paraId="412EB08B" w14:textId="77777777" w:rsidR="002B4A2D" w:rsidRPr="002B4A2D" w:rsidRDefault="002B4A2D" w:rsidP="00FC07C4">
      <w:pPr>
        <w:spacing w:after="0" w:line="240" w:lineRule="auto"/>
        <w:rPr>
          <w:rFonts w:ascii="Times New Roman" w:eastAsia="Times New Roman" w:hAnsi="Times New Roman" w:cs="Times New Roman"/>
          <w:kern w:val="0"/>
          <w:lang w:val="en-US" w:eastAsia="sv-SE"/>
          <w14:ligatures w14:val="none"/>
        </w:rPr>
      </w:pPr>
      <w:r w:rsidRPr="002B4A2D">
        <w:rPr>
          <w:rFonts w:ascii="Times New Roman" w:eastAsia="Times New Roman" w:hAnsi="Times New Roman" w:cs="Times New Roman"/>
          <w:kern w:val="0"/>
          <w:lang w:val="en-US" w:eastAsia="sv-SE"/>
          <w14:ligatures w14:val="none"/>
        </w:rPr>
        <w:t xml:space="preserve">Panel (a) shows the association between anti-spike (anti-S) IgG levels and angiotensin-converting enzyme 2 (ACE2) neutralization capacity. Panel (b) shows the association between anti-spike (anti-S) and anti–receptor-binding domain (RBD) IgG levels. Panel (c) shows the association between anti-spike (anti-S) and anti-nucleocapsid IgG levels. All samples collected during the study period were included in the </w:t>
      </w:r>
      <w:proofErr w:type="gramStart"/>
      <w:r w:rsidRPr="002B4A2D">
        <w:rPr>
          <w:rFonts w:ascii="Times New Roman" w:eastAsia="Times New Roman" w:hAnsi="Times New Roman" w:cs="Times New Roman"/>
          <w:kern w:val="0"/>
          <w:lang w:val="en-US" w:eastAsia="sv-SE"/>
          <w14:ligatures w14:val="none"/>
        </w:rPr>
        <w:t>analyses</w:t>
      </w:r>
      <w:proofErr w:type="gramEnd"/>
      <w:r w:rsidRPr="002B4A2D">
        <w:rPr>
          <w:rFonts w:ascii="Times New Roman" w:eastAsia="Times New Roman" w:hAnsi="Times New Roman" w:cs="Times New Roman"/>
          <w:kern w:val="0"/>
          <w:lang w:val="en-US" w:eastAsia="sv-SE"/>
          <w14:ligatures w14:val="none"/>
        </w:rPr>
        <w:t>. The dose–response relationship between anti-S levels and ACE2 neutralization was fitted using a four-parameter logistic (Hill) model. Correlations were assessed using Spearman’s rank correlation coefficient.</w:t>
      </w:r>
    </w:p>
    <w:p w14:paraId="3737AE98" w14:textId="77777777" w:rsidR="002B4A2D" w:rsidRPr="002B4A2D" w:rsidRDefault="002B4A2D" w:rsidP="00FC07C4">
      <w:pPr>
        <w:spacing w:after="0" w:line="240" w:lineRule="auto"/>
        <w:rPr>
          <w:rFonts w:ascii="Times New Roman" w:eastAsia="Times New Roman" w:hAnsi="Times New Roman" w:cs="Times New Roman"/>
          <w:b/>
          <w:bCs/>
          <w:kern w:val="0"/>
          <w:lang w:val="en-US" w:eastAsia="sv-SE"/>
          <w14:ligatures w14:val="none"/>
        </w:rPr>
      </w:pPr>
    </w:p>
    <w:p w14:paraId="480D0CF9" w14:textId="28153A23" w:rsidR="00342C89" w:rsidRDefault="00342C89"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object w:dxaOrig="6463" w:dyaOrig="5678" w14:anchorId="3D635DE0">
          <v:shape id="_x0000_i1029" type="#_x0000_t75" style="width:323.15pt;height:283.8pt" o:ole="">
            <v:imagedata r:id="rId12" o:title=""/>
          </v:shape>
          <o:OLEObject Type="Embed" ProgID="Prism10.Document" ShapeID="_x0000_i1029" DrawAspect="Content" ObjectID="_1835803621" r:id="rId13"/>
        </w:object>
      </w:r>
    </w:p>
    <w:p w14:paraId="6E31DED9" w14:textId="653547B6" w:rsidR="002B4A2D" w:rsidRPr="002B4A2D" w:rsidRDefault="002B4A2D"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5. Anti-spike antibody levels after primary vaccination and first booster according to B-cell count.</w:t>
      </w:r>
    </w:p>
    <w:p w14:paraId="0A3F1EAD" w14:textId="77777777" w:rsidR="002B4A2D" w:rsidRPr="002B4A2D" w:rsidRDefault="002B4A2D" w:rsidP="00FC07C4">
      <w:pPr>
        <w:spacing w:after="0" w:line="240" w:lineRule="auto"/>
        <w:rPr>
          <w:rFonts w:ascii="Times New Roman" w:eastAsia="Times New Roman" w:hAnsi="Times New Roman" w:cs="Times New Roman"/>
          <w:kern w:val="0"/>
          <w:lang w:val="en-US" w:eastAsia="sv-SE"/>
          <w14:ligatures w14:val="none"/>
        </w:rPr>
      </w:pPr>
      <w:r w:rsidRPr="002B4A2D">
        <w:rPr>
          <w:rFonts w:ascii="Times New Roman" w:eastAsia="Times New Roman" w:hAnsi="Times New Roman" w:cs="Times New Roman"/>
          <w:kern w:val="0"/>
          <w:lang w:val="en-US" w:eastAsia="sv-SE"/>
          <w14:ligatures w14:val="none"/>
        </w:rPr>
        <w:t>Anti-spike (anti-S) IgG levels measured 1–9 weeks after primary vaccination (a) and 1–9 weeks after the first booster dose (b) in patients treated with rituximab (RTX). stratified by B-cell count at primary vaccination (≥40/µL vs &lt;40/µL). Group comparisons were performed using the Mann–Whitney U test.</w:t>
      </w:r>
    </w:p>
    <w:p w14:paraId="32887F6E" w14:textId="43A3BDA4" w:rsidR="00342C89" w:rsidRDefault="00342C89">
      <w:pPr>
        <w:rPr>
          <w:rFonts w:ascii="Times New Roman" w:eastAsia="Times New Roman" w:hAnsi="Times New Roman" w:cs="Times New Roman"/>
          <w:b/>
          <w:bCs/>
          <w:kern w:val="0"/>
          <w:lang w:val="en-US" w:eastAsia="sv-SE"/>
          <w14:ligatures w14:val="none"/>
        </w:rPr>
      </w:pPr>
      <w:r>
        <w:rPr>
          <w:rFonts w:ascii="Times New Roman" w:eastAsia="Times New Roman" w:hAnsi="Times New Roman" w:cs="Times New Roman"/>
          <w:b/>
          <w:bCs/>
          <w:kern w:val="0"/>
          <w:lang w:val="en-US" w:eastAsia="sv-SE"/>
          <w14:ligatures w14:val="none"/>
        </w:rPr>
        <w:br w:type="page"/>
      </w:r>
    </w:p>
    <w:p w14:paraId="7BAF1F1B" w14:textId="74206891" w:rsidR="002B4A2D" w:rsidRPr="002B4A2D" w:rsidRDefault="00342C89"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object w:dxaOrig="4958" w:dyaOrig="7831" w14:anchorId="16C20D1F">
          <v:shape id="_x0000_i1030" type="#_x0000_t75" style="width:199.25pt;height:313.95pt" o:ole="">
            <v:imagedata r:id="rId14" o:title=""/>
          </v:shape>
          <o:OLEObject Type="Embed" ProgID="Prism10.Document" ShapeID="_x0000_i1030" DrawAspect="Content" ObjectID="_1835803622" r:id="rId15"/>
        </w:object>
      </w:r>
    </w:p>
    <w:p w14:paraId="398D7BB9" w14:textId="17CC949A" w:rsidR="002B4A2D" w:rsidRPr="002B4A2D" w:rsidRDefault="002B4A2D" w:rsidP="00FC07C4">
      <w:pPr>
        <w:keepNext/>
        <w:keepLines/>
        <w:spacing w:before="80" w:after="0" w:line="240" w:lineRule="auto"/>
        <w:outlineLvl w:val="2"/>
        <w:rPr>
          <w:rFonts w:ascii="Times New Roman" w:eastAsia="Times New Roman" w:hAnsi="Times New Roman" w:cs="Times New Roman"/>
          <w:b/>
          <w:bCs/>
          <w:kern w:val="0"/>
          <w:lang w:val="en-US" w:eastAsia="sv-SE"/>
          <w14:ligatures w14:val="none"/>
        </w:rPr>
      </w:pPr>
      <w:r w:rsidRPr="002B4A2D">
        <w:rPr>
          <w:rFonts w:ascii="Times New Roman" w:eastAsia="Times New Roman" w:hAnsi="Times New Roman" w:cs="Times New Roman"/>
          <w:b/>
          <w:bCs/>
          <w:kern w:val="0"/>
          <w:lang w:val="en-US" w:eastAsia="sv-SE"/>
          <w14:ligatures w14:val="none"/>
        </w:rPr>
        <w:t xml:space="preserve">Supplementary figure </w:t>
      </w:r>
      <w:r w:rsidR="0024215C">
        <w:rPr>
          <w:rFonts w:ascii="Times New Roman" w:eastAsia="Times New Roman" w:hAnsi="Times New Roman" w:cs="Times New Roman"/>
          <w:b/>
          <w:bCs/>
          <w:kern w:val="0"/>
          <w:lang w:val="en-US" w:eastAsia="sv-SE"/>
          <w14:ligatures w14:val="none"/>
        </w:rPr>
        <w:t>S</w:t>
      </w:r>
      <w:r w:rsidRPr="002B4A2D">
        <w:rPr>
          <w:rFonts w:ascii="Times New Roman" w:eastAsia="Times New Roman" w:hAnsi="Times New Roman" w:cs="Times New Roman"/>
          <w:b/>
          <w:bCs/>
          <w:kern w:val="0"/>
          <w:lang w:val="en-US" w:eastAsia="sv-SE"/>
          <w14:ligatures w14:val="none"/>
        </w:rPr>
        <w:t>6. Comparison of anti-spike antibody levels according to booster vaccine type.</w:t>
      </w:r>
    </w:p>
    <w:p w14:paraId="5F4C3340" w14:textId="03D03D1B" w:rsidR="00B94706" w:rsidRDefault="002B4A2D" w:rsidP="00FC07C4">
      <w:pPr>
        <w:spacing w:line="240" w:lineRule="auto"/>
      </w:pPr>
      <w:r w:rsidRPr="002B4A2D">
        <w:rPr>
          <w:rFonts w:ascii="Times New Roman" w:eastAsia="Times New Roman" w:hAnsi="Times New Roman" w:cs="Times New Roman"/>
          <w:kern w:val="0"/>
          <w:lang w:val="en-US" w:eastAsia="sv-SE"/>
          <w14:ligatures w14:val="none"/>
        </w:rPr>
        <w:t>Comparison of anti-spike (anti-S) IgG levels between patients who received tozinameran (Pfizer–BioNTech) and those who received elasomeran (Moderna) as their first booster dose. The first sample collected 1–29 weeks after the first booster dose was included in the analysis. Group comparisons were performed using the Mann–Whitney U test.</w:t>
      </w:r>
    </w:p>
    <w:sectPr w:rsidR="00B947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2D"/>
    <w:rsid w:val="0024215C"/>
    <w:rsid w:val="00283686"/>
    <w:rsid w:val="002B4A2D"/>
    <w:rsid w:val="00342C89"/>
    <w:rsid w:val="00B94706"/>
    <w:rsid w:val="00C62BEF"/>
    <w:rsid w:val="00CC67BC"/>
    <w:rsid w:val="00FC07C4"/>
    <w:rsid w:val="00FC7AD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BD364"/>
  <w15:chartTrackingRefBased/>
  <w15:docId w15:val="{C5D90EF6-5471-4D83-BDA8-8207B26F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A2D"/>
    <w:rPr>
      <w:rFonts w:eastAsiaTheme="majorEastAsia" w:cstheme="majorBidi"/>
      <w:color w:val="272727" w:themeColor="text1" w:themeTint="D8"/>
    </w:rPr>
  </w:style>
  <w:style w:type="paragraph" w:styleId="Title">
    <w:name w:val="Title"/>
    <w:basedOn w:val="Normal"/>
    <w:next w:val="Normal"/>
    <w:link w:val="TitleChar"/>
    <w:uiPriority w:val="10"/>
    <w:qFormat/>
    <w:rsid w:val="002B4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A2D"/>
    <w:pPr>
      <w:spacing w:before="160"/>
      <w:jc w:val="center"/>
    </w:pPr>
    <w:rPr>
      <w:i/>
      <w:iCs/>
      <w:color w:val="404040" w:themeColor="text1" w:themeTint="BF"/>
    </w:rPr>
  </w:style>
  <w:style w:type="character" w:customStyle="1" w:styleId="QuoteChar">
    <w:name w:val="Quote Char"/>
    <w:basedOn w:val="DefaultParagraphFont"/>
    <w:link w:val="Quote"/>
    <w:uiPriority w:val="29"/>
    <w:rsid w:val="002B4A2D"/>
    <w:rPr>
      <w:i/>
      <w:iCs/>
      <w:color w:val="404040" w:themeColor="text1" w:themeTint="BF"/>
    </w:rPr>
  </w:style>
  <w:style w:type="paragraph" w:styleId="ListParagraph">
    <w:name w:val="List Paragraph"/>
    <w:basedOn w:val="Normal"/>
    <w:uiPriority w:val="34"/>
    <w:qFormat/>
    <w:rsid w:val="002B4A2D"/>
    <w:pPr>
      <w:ind w:left="720"/>
      <w:contextualSpacing/>
    </w:pPr>
  </w:style>
  <w:style w:type="character" w:styleId="IntenseEmphasis">
    <w:name w:val="Intense Emphasis"/>
    <w:basedOn w:val="DefaultParagraphFont"/>
    <w:uiPriority w:val="21"/>
    <w:qFormat/>
    <w:rsid w:val="002B4A2D"/>
    <w:rPr>
      <w:i/>
      <w:iCs/>
      <w:color w:val="0F4761" w:themeColor="accent1" w:themeShade="BF"/>
    </w:rPr>
  </w:style>
  <w:style w:type="paragraph" w:styleId="IntenseQuote">
    <w:name w:val="Intense Quote"/>
    <w:basedOn w:val="Normal"/>
    <w:next w:val="Normal"/>
    <w:link w:val="IntenseQuoteChar"/>
    <w:uiPriority w:val="30"/>
    <w:qFormat/>
    <w:rsid w:val="002B4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A2D"/>
    <w:rPr>
      <w:i/>
      <w:iCs/>
      <w:color w:val="0F4761" w:themeColor="accent1" w:themeShade="BF"/>
    </w:rPr>
  </w:style>
  <w:style w:type="character" w:styleId="IntenseReference">
    <w:name w:val="Intense Reference"/>
    <w:basedOn w:val="DefaultParagraphFont"/>
    <w:uiPriority w:val="32"/>
    <w:qFormat/>
    <w:rsid w:val="002B4A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Wiberg</dc:creator>
  <cp:keywords/>
  <dc:description/>
  <cp:lastModifiedBy>Anna Wiberg</cp:lastModifiedBy>
  <cp:revision>3</cp:revision>
  <dcterms:created xsi:type="dcterms:W3CDTF">2026-03-22T14:00:00Z</dcterms:created>
  <dcterms:modified xsi:type="dcterms:W3CDTF">2026-03-23T19:40:00Z</dcterms:modified>
</cp:coreProperties>
</file>