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Y="1077"/>
        <w:tblW w:w="9526" w:type="dxa"/>
        <w:tblLook w:val="04A0" w:firstRow="1" w:lastRow="0" w:firstColumn="1" w:lastColumn="0" w:noHBand="0" w:noVBand="1"/>
      </w:tblPr>
      <w:tblGrid>
        <w:gridCol w:w="1838"/>
        <w:gridCol w:w="1418"/>
        <w:gridCol w:w="1842"/>
        <w:gridCol w:w="2127"/>
        <w:gridCol w:w="2301"/>
      </w:tblGrid>
      <w:tr w:rsidR="00D44894" w:rsidTr="00D44894">
        <w:trPr>
          <w:trHeight w:val="515"/>
        </w:trPr>
        <w:tc>
          <w:tcPr>
            <w:tcW w:w="1838" w:type="dxa"/>
          </w:tcPr>
          <w:p w:rsidR="00D44894" w:rsidRPr="00D44894" w:rsidRDefault="00D44894" w:rsidP="00D44894">
            <w:pPr>
              <w:rPr>
                <w:rFonts w:ascii="Arial" w:hAnsi="Arial" w:cs="Arial"/>
                <w:b/>
                <w:sz w:val="20"/>
              </w:rPr>
            </w:pPr>
            <w:r w:rsidRPr="00D44894">
              <w:rPr>
                <w:rFonts w:ascii="Arial" w:hAnsi="Arial" w:cs="Arial"/>
                <w:b/>
                <w:sz w:val="20"/>
              </w:rPr>
              <w:t xml:space="preserve">Name, </w:t>
            </w:r>
            <w:proofErr w:type="spellStart"/>
            <w:r w:rsidRPr="00D44894">
              <w:rPr>
                <w:rFonts w:ascii="Arial" w:hAnsi="Arial" w:cs="Arial"/>
                <w:b/>
                <w:sz w:val="20"/>
              </w:rPr>
              <w:t>Surname</w:t>
            </w:r>
            <w:proofErr w:type="spellEnd"/>
          </w:p>
        </w:tc>
        <w:tc>
          <w:tcPr>
            <w:tcW w:w="1418" w:type="dxa"/>
          </w:tcPr>
          <w:p w:rsidR="00D44894" w:rsidRPr="00D44894" w:rsidRDefault="00D44894" w:rsidP="00D44894">
            <w:pPr>
              <w:rPr>
                <w:rFonts w:ascii="Arial" w:hAnsi="Arial" w:cs="Arial"/>
                <w:b/>
                <w:sz w:val="20"/>
              </w:rPr>
            </w:pPr>
            <w:proofErr w:type="spellStart"/>
            <w:r w:rsidRPr="00D44894">
              <w:rPr>
                <w:rFonts w:ascii="Arial" w:hAnsi="Arial" w:cs="Arial"/>
                <w:b/>
                <w:sz w:val="20"/>
              </w:rPr>
              <w:t>Birth</w:t>
            </w:r>
            <w:proofErr w:type="spellEnd"/>
            <w:r w:rsidRPr="00D44894">
              <w:rPr>
                <w:rFonts w:ascii="Arial" w:hAnsi="Arial" w:cs="Arial"/>
                <w:b/>
                <w:sz w:val="20"/>
              </w:rPr>
              <w:t xml:space="preserve"> Date</w:t>
            </w:r>
          </w:p>
        </w:tc>
        <w:tc>
          <w:tcPr>
            <w:tcW w:w="1842" w:type="dxa"/>
          </w:tcPr>
          <w:p w:rsidR="00D44894" w:rsidRPr="00D44894" w:rsidRDefault="00D44894" w:rsidP="00D44894">
            <w:pPr>
              <w:rPr>
                <w:rFonts w:ascii="Arial" w:hAnsi="Arial" w:cs="Arial"/>
                <w:b/>
                <w:sz w:val="20"/>
              </w:rPr>
            </w:pPr>
            <w:r w:rsidRPr="00D44894">
              <w:rPr>
                <w:rFonts w:ascii="Arial" w:hAnsi="Arial" w:cs="Arial"/>
                <w:b/>
                <w:sz w:val="20"/>
              </w:rPr>
              <w:t xml:space="preserve">Case ID </w:t>
            </w:r>
            <w:proofErr w:type="spellStart"/>
            <w:r w:rsidRPr="00D44894">
              <w:rPr>
                <w:rFonts w:ascii="Arial" w:hAnsi="Arial" w:cs="Arial"/>
                <w:b/>
                <w:sz w:val="20"/>
              </w:rPr>
              <w:t>Number</w:t>
            </w:r>
            <w:proofErr w:type="spellEnd"/>
          </w:p>
        </w:tc>
        <w:tc>
          <w:tcPr>
            <w:tcW w:w="2127" w:type="dxa"/>
          </w:tcPr>
          <w:p w:rsidR="00D44894" w:rsidRPr="00D44894" w:rsidRDefault="00D44894" w:rsidP="00E621C1">
            <w:pPr>
              <w:rPr>
                <w:rFonts w:ascii="Arial" w:hAnsi="Arial" w:cs="Arial"/>
                <w:b/>
                <w:sz w:val="20"/>
              </w:rPr>
            </w:pPr>
            <w:r w:rsidRPr="00D44894">
              <w:rPr>
                <w:rFonts w:ascii="Arial" w:hAnsi="Arial" w:cs="Arial"/>
                <w:b/>
                <w:sz w:val="20"/>
              </w:rPr>
              <w:t xml:space="preserve">Sample </w:t>
            </w:r>
            <w:proofErr w:type="spellStart"/>
            <w:r w:rsidRPr="00D44894">
              <w:rPr>
                <w:rFonts w:ascii="Arial" w:hAnsi="Arial" w:cs="Arial"/>
                <w:b/>
                <w:sz w:val="20"/>
              </w:rPr>
              <w:t>rece</w:t>
            </w:r>
            <w:r w:rsidR="00E621C1">
              <w:rPr>
                <w:rFonts w:ascii="Arial" w:hAnsi="Arial" w:cs="Arial"/>
                <w:b/>
                <w:sz w:val="20"/>
              </w:rPr>
              <w:t>ived</w:t>
            </w:r>
            <w:proofErr w:type="spellEnd"/>
          </w:p>
        </w:tc>
        <w:tc>
          <w:tcPr>
            <w:tcW w:w="2301" w:type="dxa"/>
          </w:tcPr>
          <w:p w:rsidR="00D44894" w:rsidRPr="00D44894" w:rsidRDefault="00E621C1" w:rsidP="00E621C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Report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completed</w:t>
            </w:r>
            <w:proofErr w:type="spellEnd"/>
          </w:p>
        </w:tc>
      </w:tr>
      <w:tr w:rsidR="00D44894" w:rsidTr="00D44894">
        <w:trPr>
          <w:trHeight w:val="265"/>
        </w:trPr>
        <w:tc>
          <w:tcPr>
            <w:tcW w:w="1838" w:type="dxa"/>
          </w:tcPr>
          <w:p w:rsidR="00D44894" w:rsidRPr="00D44894" w:rsidRDefault="00D44894" w:rsidP="00D44894">
            <w:pPr>
              <w:rPr>
                <w:rFonts w:ascii="Arial" w:hAnsi="Arial" w:cs="Arial"/>
                <w:sz w:val="20"/>
              </w:rPr>
            </w:pPr>
            <w:r w:rsidRPr="00D44894">
              <w:rPr>
                <w:rFonts w:ascii="Arial" w:hAnsi="Arial" w:cs="Arial"/>
                <w:sz w:val="20"/>
              </w:rPr>
              <w:t>xxx</w:t>
            </w:r>
          </w:p>
        </w:tc>
        <w:tc>
          <w:tcPr>
            <w:tcW w:w="1418" w:type="dxa"/>
          </w:tcPr>
          <w:p w:rsidR="00D44894" w:rsidRPr="00D44894" w:rsidRDefault="00D44894" w:rsidP="00D44894">
            <w:pPr>
              <w:rPr>
                <w:rFonts w:ascii="Arial" w:hAnsi="Arial" w:cs="Arial"/>
                <w:sz w:val="20"/>
              </w:rPr>
            </w:pPr>
            <w:r w:rsidRPr="00D44894">
              <w:rPr>
                <w:rFonts w:ascii="Arial" w:hAnsi="Arial" w:cs="Arial"/>
                <w:sz w:val="20"/>
              </w:rPr>
              <w:t>xxx</w:t>
            </w:r>
          </w:p>
        </w:tc>
        <w:tc>
          <w:tcPr>
            <w:tcW w:w="1842" w:type="dxa"/>
          </w:tcPr>
          <w:p w:rsidR="00D44894" w:rsidRPr="00D44894" w:rsidRDefault="00D44894" w:rsidP="00D44894">
            <w:pPr>
              <w:rPr>
                <w:rFonts w:ascii="Arial" w:hAnsi="Arial" w:cs="Arial"/>
                <w:sz w:val="20"/>
              </w:rPr>
            </w:pPr>
            <w:r w:rsidRPr="00D44894">
              <w:rPr>
                <w:rFonts w:ascii="Arial" w:hAnsi="Arial" w:cs="Arial"/>
                <w:sz w:val="20"/>
              </w:rPr>
              <w:t>xxx</w:t>
            </w:r>
          </w:p>
        </w:tc>
        <w:tc>
          <w:tcPr>
            <w:tcW w:w="2127" w:type="dxa"/>
          </w:tcPr>
          <w:p w:rsidR="00D44894" w:rsidRPr="00D44894" w:rsidRDefault="00D44894" w:rsidP="00D44894">
            <w:pPr>
              <w:rPr>
                <w:rFonts w:ascii="Arial" w:hAnsi="Arial" w:cs="Arial"/>
                <w:sz w:val="20"/>
              </w:rPr>
            </w:pPr>
            <w:r w:rsidRPr="00D44894">
              <w:rPr>
                <w:rFonts w:ascii="Arial" w:hAnsi="Arial" w:cs="Arial"/>
                <w:sz w:val="20"/>
              </w:rPr>
              <w:t>10th May 2024</w:t>
            </w:r>
          </w:p>
        </w:tc>
        <w:tc>
          <w:tcPr>
            <w:tcW w:w="2301" w:type="dxa"/>
          </w:tcPr>
          <w:p w:rsidR="00D44894" w:rsidRPr="00D44894" w:rsidRDefault="00D44894" w:rsidP="00D44894">
            <w:pPr>
              <w:rPr>
                <w:rFonts w:ascii="Arial" w:hAnsi="Arial" w:cs="Arial"/>
                <w:sz w:val="20"/>
              </w:rPr>
            </w:pPr>
            <w:r w:rsidRPr="00D44894">
              <w:rPr>
                <w:rFonts w:ascii="Arial" w:hAnsi="Arial" w:cs="Arial"/>
                <w:sz w:val="20"/>
              </w:rPr>
              <w:t>15th June 2024</w:t>
            </w:r>
          </w:p>
        </w:tc>
      </w:tr>
    </w:tbl>
    <w:p w:rsidR="00A23923" w:rsidRPr="00D44894" w:rsidRDefault="00381DA6" w:rsidP="00D44894">
      <w:pPr>
        <w:jc w:val="center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>RESOLVE</w:t>
      </w:r>
      <w:r w:rsidR="00D44894" w:rsidRPr="00D44894">
        <w:rPr>
          <w:rFonts w:ascii="Arial" w:hAnsi="Arial" w:cs="Arial"/>
          <w:b/>
          <w:sz w:val="24"/>
          <w:lang w:val="en-GB"/>
        </w:rPr>
        <w:t xml:space="preserve">-VUS </w:t>
      </w:r>
      <w:r w:rsidR="00CC15A3">
        <w:rPr>
          <w:rFonts w:ascii="Arial" w:hAnsi="Arial" w:cs="Arial"/>
          <w:b/>
          <w:sz w:val="24"/>
          <w:lang w:val="en-GB"/>
        </w:rPr>
        <w:t>Molecular</w:t>
      </w:r>
      <w:r w:rsidR="00CC15A3" w:rsidRPr="00D44894">
        <w:rPr>
          <w:rFonts w:ascii="Arial" w:hAnsi="Arial" w:cs="Arial"/>
          <w:b/>
          <w:sz w:val="24"/>
          <w:lang w:val="en-GB"/>
        </w:rPr>
        <w:t xml:space="preserve"> </w:t>
      </w:r>
      <w:r w:rsidR="00D44894" w:rsidRPr="00D44894">
        <w:rPr>
          <w:rFonts w:ascii="Arial" w:hAnsi="Arial" w:cs="Arial"/>
          <w:b/>
          <w:sz w:val="24"/>
          <w:lang w:val="en-GB"/>
        </w:rPr>
        <w:t xml:space="preserve">Report </w:t>
      </w:r>
      <w:proofErr w:type="spellStart"/>
      <w:r w:rsidR="00D44894" w:rsidRPr="00D44894">
        <w:rPr>
          <w:rFonts w:ascii="Arial" w:hAnsi="Arial" w:cs="Arial"/>
          <w:b/>
          <w:sz w:val="24"/>
          <w:lang w:val="en-GB"/>
        </w:rPr>
        <w:t>Nr</w:t>
      </w:r>
      <w:proofErr w:type="spellEnd"/>
      <w:r w:rsidR="00D44894" w:rsidRPr="00D44894">
        <w:rPr>
          <w:rFonts w:ascii="Arial" w:hAnsi="Arial" w:cs="Arial"/>
          <w:b/>
          <w:sz w:val="24"/>
          <w:lang w:val="en-GB"/>
        </w:rPr>
        <w:t>. XXXX/24 (OC03)</w:t>
      </w:r>
    </w:p>
    <w:p w:rsidR="00D44894" w:rsidRDefault="00D44894">
      <w:pPr>
        <w:rPr>
          <w:lang w:val="en-GB"/>
        </w:rPr>
      </w:pPr>
    </w:p>
    <w:p w:rsidR="00D44894" w:rsidRDefault="00D44894">
      <w:pPr>
        <w:rPr>
          <w:lang w:val="en-GB"/>
        </w:rPr>
      </w:pPr>
    </w:p>
    <w:tbl>
      <w:tblPr>
        <w:tblStyle w:val="Tabellenraster"/>
        <w:tblW w:w="9540" w:type="dxa"/>
        <w:tblLook w:val="04A0" w:firstRow="1" w:lastRow="0" w:firstColumn="1" w:lastColumn="0" w:noHBand="0" w:noVBand="1"/>
      </w:tblPr>
      <w:tblGrid>
        <w:gridCol w:w="2384"/>
        <w:gridCol w:w="2384"/>
        <w:gridCol w:w="2386"/>
        <w:gridCol w:w="2386"/>
      </w:tblGrid>
      <w:tr w:rsidR="00D44894" w:rsidTr="00D44894">
        <w:trPr>
          <w:trHeight w:val="258"/>
        </w:trPr>
        <w:tc>
          <w:tcPr>
            <w:tcW w:w="2384" w:type="dxa"/>
          </w:tcPr>
          <w:p w:rsidR="00D44894" w:rsidRPr="00D44894" w:rsidRDefault="00D44894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44894">
              <w:rPr>
                <w:rFonts w:ascii="Arial" w:hAnsi="Arial" w:cs="Arial"/>
                <w:b/>
                <w:sz w:val="20"/>
                <w:lang w:val="en-GB"/>
              </w:rPr>
              <w:t>Tumor Entity</w:t>
            </w:r>
          </w:p>
        </w:tc>
        <w:tc>
          <w:tcPr>
            <w:tcW w:w="2384" w:type="dxa"/>
          </w:tcPr>
          <w:p w:rsidR="00D44894" w:rsidRPr="00D44894" w:rsidRDefault="00D44894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44894">
              <w:rPr>
                <w:rFonts w:ascii="Arial" w:hAnsi="Arial" w:cs="Arial"/>
                <w:b/>
                <w:sz w:val="20"/>
                <w:lang w:val="en-GB"/>
              </w:rPr>
              <w:t>Sample type</w:t>
            </w:r>
          </w:p>
        </w:tc>
        <w:tc>
          <w:tcPr>
            <w:tcW w:w="2386" w:type="dxa"/>
          </w:tcPr>
          <w:p w:rsidR="00D44894" w:rsidRPr="00D44894" w:rsidRDefault="00D44894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44894">
              <w:rPr>
                <w:rFonts w:ascii="Arial" w:hAnsi="Arial" w:cs="Arial"/>
                <w:b/>
                <w:sz w:val="20"/>
                <w:lang w:val="en-GB"/>
              </w:rPr>
              <w:t>Sample Volume</w:t>
            </w:r>
          </w:p>
        </w:tc>
        <w:tc>
          <w:tcPr>
            <w:tcW w:w="2386" w:type="dxa"/>
          </w:tcPr>
          <w:p w:rsidR="00D44894" w:rsidRPr="00D44894" w:rsidRDefault="00D44894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D44894">
              <w:rPr>
                <w:rFonts w:ascii="Arial" w:hAnsi="Arial" w:cs="Arial"/>
                <w:b/>
                <w:sz w:val="20"/>
                <w:lang w:val="en-GB"/>
              </w:rPr>
              <w:t>Additional remarks</w:t>
            </w:r>
          </w:p>
        </w:tc>
      </w:tr>
      <w:tr w:rsidR="00D44894" w:rsidTr="00D44894">
        <w:trPr>
          <w:trHeight w:val="516"/>
        </w:trPr>
        <w:tc>
          <w:tcPr>
            <w:tcW w:w="2384" w:type="dxa"/>
          </w:tcPr>
          <w:p w:rsidR="00D44894" w:rsidRPr="00D44894" w:rsidRDefault="00D44894">
            <w:pPr>
              <w:rPr>
                <w:rFonts w:ascii="Arial" w:hAnsi="Arial" w:cs="Arial"/>
                <w:sz w:val="20"/>
                <w:lang w:val="en-GB"/>
              </w:rPr>
            </w:pPr>
            <w:r w:rsidRPr="00D44894">
              <w:rPr>
                <w:rFonts w:ascii="Arial" w:hAnsi="Arial" w:cs="Arial"/>
                <w:sz w:val="20"/>
                <w:lang w:val="en-GB"/>
              </w:rPr>
              <w:t>High-grade serous ovarian carcinoma</w:t>
            </w:r>
          </w:p>
        </w:tc>
        <w:tc>
          <w:tcPr>
            <w:tcW w:w="2384" w:type="dxa"/>
          </w:tcPr>
          <w:p w:rsidR="00D44894" w:rsidRPr="00D44894" w:rsidRDefault="00D44894">
            <w:pPr>
              <w:rPr>
                <w:rFonts w:ascii="Arial" w:hAnsi="Arial" w:cs="Arial"/>
                <w:sz w:val="20"/>
                <w:lang w:val="en-GB"/>
              </w:rPr>
            </w:pPr>
            <w:r w:rsidRPr="00D44894">
              <w:rPr>
                <w:rFonts w:ascii="Arial" w:hAnsi="Arial" w:cs="Arial"/>
                <w:sz w:val="20"/>
                <w:lang w:val="en-GB"/>
              </w:rPr>
              <w:t>Ascites</w:t>
            </w:r>
          </w:p>
        </w:tc>
        <w:tc>
          <w:tcPr>
            <w:tcW w:w="2386" w:type="dxa"/>
          </w:tcPr>
          <w:p w:rsidR="00D44894" w:rsidRPr="00D44894" w:rsidRDefault="00D44894">
            <w:pPr>
              <w:rPr>
                <w:rFonts w:ascii="Arial" w:hAnsi="Arial" w:cs="Arial"/>
                <w:sz w:val="20"/>
                <w:lang w:val="en-GB"/>
              </w:rPr>
            </w:pPr>
            <w:r w:rsidRPr="00D44894">
              <w:rPr>
                <w:rFonts w:ascii="Arial" w:hAnsi="Arial" w:cs="Arial"/>
                <w:sz w:val="20"/>
                <w:lang w:val="en-GB"/>
              </w:rPr>
              <w:t>16 ml</w:t>
            </w:r>
          </w:p>
        </w:tc>
        <w:tc>
          <w:tcPr>
            <w:tcW w:w="2386" w:type="dxa"/>
          </w:tcPr>
          <w:p w:rsidR="00D44894" w:rsidRPr="00D44894" w:rsidRDefault="00D44894">
            <w:pPr>
              <w:rPr>
                <w:rFonts w:ascii="Arial" w:hAnsi="Arial" w:cs="Arial"/>
                <w:sz w:val="20"/>
                <w:lang w:val="en-GB"/>
              </w:rPr>
            </w:pPr>
            <w:r w:rsidRPr="00D44894">
              <w:rPr>
                <w:rFonts w:ascii="Arial" w:hAnsi="Arial" w:cs="Arial"/>
                <w:sz w:val="20"/>
                <w:lang w:val="en-GB"/>
              </w:rPr>
              <w:t>Yellow, clear</w:t>
            </w:r>
          </w:p>
        </w:tc>
      </w:tr>
    </w:tbl>
    <w:p w:rsidR="00D44894" w:rsidRDefault="00D44894">
      <w:pPr>
        <w:rPr>
          <w:lang w:val="en-GB"/>
        </w:rPr>
      </w:pPr>
    </w:p>
    <w:p w:rsidR="00285CB8" w:rsidRDefault="00285CB8">
      <w:pPr>
        <w:rPr>
          <w:b/>
          <w:lang w:val="en-GB"/>
        </w:rPr>
      </w:pPr>
      <w:r w:rsidRPr="00285CB8">
        <w:rPr>
          <w:b/>
          <w:lang w:val="en-GB"/>
        </w:rPr>
        <w:t>A</w:t>
      </w:r>
      <w:r>
        <w:rPr>
          <w:b/>
          <w:lang w:val="en-GB"/>
        </w:rPr>
        <w:t>.</w:t>
      </w:r>
      <w:r w:rsidRPr="00285CB8">
        <w:rPr>
          <w:b/>
          <w:lang w:val="en-GB"/>
        </w:rPr>
        <w:t xml:space="preserve"> PDO Establishment</w:t>
      </w:r>
    </w:p>
    <w:p w:rsidR="00285CB8" w:rsidRDefault="00285CB8">
      <w:pPr>
        <w:rPr>
          <w:b/>
          <w:lang w:val="en-GB"/>
        </w:rPr>
      </w:pPr>
      <w:r w:rsidRPr="00285CB8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11430</wp:posOffset>
                </wp:positionV>
                <wp:extent cx="828675" cy="31432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CB8" w:rsidRPr="00285CB8" w:rsidRDefault="00285CB8">
                            <w:pPr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285CB8">
                              <w:rPr>
                                <w:color w:val="FFFFFF" w:themeColor="background1"/>
                                <w:sz w:val="24"/>
                              </w:rPr>
                              <w:t>P0 Day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2.65pt;margin-top:.9pt;width:65.25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" filled="f" stroked="f">
                <v:textbox>
                  <w:txbxContent>
                    <w:p w:rsidR="00285CB8" w:rsidRPr="00285CB8" w:rsidRDefault="00285CB8">
                      <w:pPr>
                        <w:rPr>
                          <w:color w:val="FFFFFF" w:themeColor="background1"/>
                          <w:sz w:val="24"/>
                        </w:rPr>
                      </w:pPr>
                      <w:r w:rsidRPr="00285CB8">
                        <w:rPr>
                          <w:color w:val="FFFFFF" w:themeColor="background1"/>
                          <w:sz w:val="24"/>
                        </w:rPr>
                        <w:t>P0 Day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5CB8">
        <w:rPr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50B9FC8" wp14:editId="19FD9D5E">
                <wp:simplePos x="0" y="0"/>
                <wp:positionH relativeFrom="column">
                  <wp:posOffset>4853305</wp:posOffset>
                </wp:positionH>
                <wp:positionV relativeFrom="paragraph">
                  <wp:posOffset>11430</wp:posOffset>
                </wp:positionV>
                <wp:extent cx="828675" cy="333375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CB8" w:rsidRPr="00285CB8" w:rsidRDefault="00285CB8" w:rsidP="00285CB8">
                            <w:pPr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P1</w:t>
                            </w:r>
                            <w:r w:rsidRPr="00285CB8">
                              <w:rPr>
                                <w:color w:val="FFFFFF" w:themeColor="background1"/>
                                <w:sz w:val="24"/>
                              </w:rPr>
                              <w:t xml:space="preserve"> Day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B9FC8" id="_x0000_s1027" type="#_x0000_t202" style="position:absolute;margin-left:382.15pt;margin-top:.9pt;width:65.25pt;height:26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" filled="f" stroked="f">
                <v:textbox>
                  <w:txbxContent>
                    <w:p w:rsidR="00285CB8" w:rsidRPr="00285CB8" w:rsidRDefault="00285CB8" w:rsidP="00285CB8">
                      <w:pPr>
                        <w:rPr>
                          <w:color w:val="FFFFFF" w:themeColor="background1"/>
                          <w:sz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</w:rPr>
                        <w:t>P1</w:t>
                      </w:r>
                      <w:r w:rsidRPr="00285CB8">
                        <w:rPr>
                          <w:color w:val="FFFFFF" w:themeColor="background1"/>
                          <w:sz w:val="24"/>
                        </w:rPr>
                        <w:t xml:space="preserve"> Day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5CB8">
        <w:rPr>
          <w:b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6FDD1C2B" wp14:editId="0BA8EB3A">
            <wp:simplePos x="0" y="0"/>
            <wp:positionH relativeFrom="margin">
              <wp:posOffset>266700</wp:posOffset>
            </wp:positionH>
            <wp:positionV relativeFrom="paragraph">
              <wp:posOffset>11430</wp:posOffset>
            </wp:positionV>
            <wp:extent cx="2495550" cy="1871662"/>
            <wp:effectExtent l="0" t="0" r="0" b="0"/>
            <wp:wrapNone/>
            <wp:docPr id="25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7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CB8">
        <w:rPr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6DC4E98F" wp14:editId="49CAFF17">
            <wp:simplePos x="0" y="0"/>
            <wp:positionH relativeFrom="margin">
              <wp:posOffset>3084195</wp:posOffset>
            </wp:positionH>
            <wp:positionV relativeFrom="paragraph">
              <wp:posOffset>11430</wp:posOffset>
            </wp:positionV>
            <wp:extent cx="2476499" cy="1857375"/>
            <wp:effectExtent l="0" t="0" r="635" b="0"/>
            <wp:wrapNone/>
            <wp:docPr id="23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499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5CB8" w:rsidRDefault="00285CB8">
      <w:pPr>
        <w:rPr>
          <w:b/>
          <w:lang w:val="en-GB"/>
        </w:rPr>
      </w:pPr>
    </w:p>
    <w:p w:rsidR="00285CB8" w:rsidRDefault="00285CB8">
      <w:pPr>
        <w:rPr>
          <w:b/>
          <w:lang w:val="en-GB"/>
        </w:rPr>
      </w:pPr>
    </w:p>
    <w:p w:rsidR="00285CB8" w:rsidRDefault="00285CB8">
      <w:pPr>
        <w:rPr>
          <w:b/>
          <w:lang w:val="en-GB"/>
        </w:rPr>
      </w:pPr>
    </w:p>
    <w:p w:rsidR="00285CB8" w:rsidRDefault="00285CB8">
      <w:pPr>
        <w:rPr>
          <w:b/>
          <w:lang w:val="en-GB"/>
        </w:rPr>
      </w:pPr>
    </w:p>
    <w:p w:rsidR="00285CB8" w:rsidRDefault="00285CB8">
      <w:pPr>
        <w:rPr>
          <w:b/>
          <w:lang w:val="en-GB"/>
        </w:rPr>
      </w:pPr>
    </w:p>
    <w:p w:rsidR="00285CB8" w:rsidRDefault="00285CB8">
      <w:pPr>
        <w:rPr>
          <w:b/>
          <w:lang w:val="en-GB"/>
        </w:rPr>
      </w:pPr>
    </w:p>
    <w:p w:rsidR="00285CB8" w:rsidRDefault="00E621C1">
      <w:pPr>
        <w:rPr>
          <w:lang w:val="en-GB"/>
        </w:rPr>
      </w:pPr>
      <w:r>
        <w:rPr>
          <w:lang w:val="en-GB"/>
        </w:rPr>
        <w:t xml:space="preserve">PDOs were successfully established and culture is stable over at least three passages. </w:t>
      </w:r>
      <w:r w:rsidR="00285CB8" w:rsidRPr="00285CB8">
        <w:rPr>
          <w:lang w:val="en-GB"/>
        </w:rPr>
        <w:t xml:space="preserve"> </w:t>
      </w:r>
    </w:p>
    <w:p w:rsidR="00285CB8" w:rsidRDefault="00285CB8">
      <w:pPr>
        <w:rPr>
          <w:lang w:val="en-GB"/>
        </w:rPr>
      </w:pPr>
    </w:p>
    <w:p w:rsidR="00285CB8" w:rsidRDefault="00285CB8">
      <w:pPr>
        <w:rPr>
          <w:b/>
          <w:lang w:val="en-GB"/>
        </w:rPr>
      </w:pPr>
      <w:r w:rsidRPr="00285CB8">
        <w:rPr>
          <w:b/>
          <w:lang w:val="en-GB"/>
        </w:rPr>
        <w:t>B. NGS Results</w:t>
      </w:r>
    </w:p>
    <w:p w:rsidR="00285CB8" w:rsidRPr="00E621C1" w:rsidRDefault="00E621C1">
      <w:pPr>
        <w:rPr>
          <w:lang w:val="en-GB"/>
        </w:rPr>
      </w:pPr>
      <w:r w:rsidRPr="00E621C1">
        <w:rPr>
          <w:lang w:val="en-GB"/>
        </w:rPr>
        <w:t>NGS Sequencing was performed using PDO-derived tumor cell DNA.</w:t>
      </w:r>
      <w:r>
        <w:rPr>
          <w:lang w:val="en-GB"/>
        </w:rPr>
        <w:t xml:space="preserve"> </w:t>
      </w:r>
      <w:r w:rsidRPr="00E621C1">
        <w:rPr>
          <w:lang w:val="en-GB"/>
        </w:rPr>
        <w:t>The following genetic variants were identified: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2032"/>
        <w:gridCol w:w="1510"/>
        <w:gridCol w:w="1510"/>
        <w:gridCol w:w="1511"/>
        <w:gridCol w:w="1511"/>
      </w:tblGrid>
      <w:tr w:rsidR="00283D41" w:rsidTr="00283D41">
        <w:tc>
          <w:tcPr>
            <w:tcW w:w="988" w:type="dxa"/>
            <w:vMerge w:val="restart"/>
          </w:tcPr>
          <w:p w:rsidR="00283D41" w:rsidRPr="00283D41" w:rsidRDefault="00283D41" w:rsidP="00E621C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Gene Name</w:t>
            </w:r>
          </w:p>
        </w:tc>
        <w:tc>
          <w:tcPr>
            <w:tcW w:w="2032" w:type="dxa"/>
            <w:vMerge w:val="restart"/>
          </w:tcPr>
          <w:p w:rsidR="00283D41" w:rsidRPr="00283D41" w:rsidRDefault="00283D41" w:rsidP="00E621C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Transcript</w:t>
            </w:r>
          </w:p>
        </w:tc>
        <w:tc>
          <w:tcPr>
            <w:tcW w:w="3020" w:type="dxa"/>
            <w:gridSpan w:val="2"/>
          </w:tcPr>
          <w:p w:rsidR="00283D41" w:rsidRPr="00283D41" w:rsidRDefault="00283D41" w:rsidP="00E621C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Variant</w:t>
            </w:r>
          </w:p>
        </w:tc>
        <w:tc>
          <w:tcPr>
            <w:tcW w:w="1511" w:type="dxa"/>
            <w:vMerge w:val="restart"/>
          </w:tcPr>
          <w:p w:rsidR="00283D41" w:rsidRPr="00283D41" w:rsidRDefault="00283D41" w:rsidP="00E621C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Allele frequency</w:t>
            </w:r>
          </w:p>
        </w:tc>
        <w:tc>
          <w:tcPr>
            <w:tcW w:w="1511" w:type="dxa"/>
            <w:vMerge w:val="restart"/>
          </w:tcPr>
          <w:p w:rsidR="00283D41" w:rsidRPr="00283D41" w:rsidRDefault="00283D41" w:rsidP="00E621C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Clinical Relevance</w:t>
            </w:r>
          </w:p>
        </w:tc>
      </w:tr>
      <w:tr w:rsidR="00283D41" w:rsidTr="00283D41">
        <w:tc>
          <w:tcPr>
            <w:tcW w:w="988" w:type="dxa"/>
            <w:vMerge/>
          </w:tcPr>
          <w:p w:rsidR="00283D41" w:rsidRPr="00283D41" w:rsidRDefault="00283D41">
            <w:pPr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032" w:type="dxa"/>
            <w:vMerge/>
          </w:tcPr>
          <w:p w:rsidR="00283D41" w:rsidRPr="00283D41" w:rsidRDefault="00283D41">
            <w:pPr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1510" w:type="dxa"/>
          </w:tcPr>
          <w:p w:rsidR="00283D41" w:rsidRPr="00283D41" w:rsidRDefault="00283D41" w:rsidP="00E621C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HGVSC</w:t>
            </w:r>
          </w:p>
        </w:tc>
        <w:tc>
          <w:tcPr>
            <w:tcW w:w="1510" w:type="dxa"/>
          </w:tcPr>
          <w:p w:rsidR="00283D41" w:rsidRPr="00283D41" w:rsidRDefault="00283D41" w:rsidP="00E621C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HGVSP</w:t>
            </w:r>
          </w:p>
        </w:tc>
        <w:tc>
          <w:tcPr>
            <w:tcW w:w="1511" w:type="dxa"/>
            <w:vMerge/>
          </w:tcPr>
          <w:p w:rsidR="00283D41" w:rsidRPr="00283D41" w:rsidRDefault="00283D41">
            <w:pPr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1511" w:type="dxa"/>
            <w:vMerge/>
          </w:tcPr>
          <w:p w:rsidR="00283D41" w:rsidRPr="00283D41" w:rsidRDefault="00283D41">
            <w:pPr>
              <w:rPr>
                <w:rFonts w:ascii="Arial" w:hAnsi="Arial" w:cs="Arial"/>
                <w:b/>
                <w:sz w:val="20"/>
                <w:lang w:val="en-GB"/>
              </w:rPr>
            </w:pPr>
          </w:p>
        </w:tc>
      </w:tr>
      <w:tr w:rsidR="00E621C1" w:rsidTr="00283D41">
        <w:trPr>
          <w:trHeight w:val="861"/>
        </w:trPr>
        <w:tc>
          <w:tcPr>
            <w:tcW w:w="988" w:type="dxa"/>
            <w:vAlign w:val="center"/>
          </w:tcPr>
          <w:p w:rsidR="00E621C1" w:rsidRPr="00283D41" w:rsidRDefault="00E621C1" w:rsidP="00283D41">
            <w:pPr>
              <w:jc w:val="center"/>
              <w:rPr>
                <w:rFonts w:ascii="Arial" w:hAnsi="Arial" w:cs="Arial"/>
                <w:b/>
                <w:i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i/>
                <w:sz w:val="20"/>
                <w:lang w:val="en-GB"/>
              </w:rPr>
              <w:t>TP53</w:t>
            </w:r>
          </w:p>
        </w:tc>
        <w:tc>
          <w:tcPr>
            <w:tcW w:w="2032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sz w:val="18"/>
              </w:rPr>
            </w:pPr>
            <w:r w:rsidRPr="00283D41">
              <w:rPr>
                <w:rFonts w:ascii="Arial" w:hAnsi="Arial" w:cs="Arial"/>
                <w:sz w:val="18"/>
              </w:rPr>
              <w:t>ENST00000269305.9</w:t>
            </w:r>
          </w:p>
        </w:tc>
        <w:tc>
          <w:tcPr>
            <w:tcW w:w="1510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83D41">
              <w:rPr>
                <w:rFonts w:ascii="Arial" w:hAnsi="Arial" w:cs="Arial"/>
                <w:sz w:val="20"/>
                <w:lang w:val="en-GB"/>
              </w:rPr>
              <w:t>c.652_659dup</w:t>
            </w:r>
          </w:p>
        </w:tc>
        <w:tc>
          <w:tcPr>
            <w:tcW w:w="1510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83D41">
              <w:rPr>
                <w:rFonts w:ascii="Arial" w:hAnsi="Arial" w:cs="Arial"/>
                <w:sz w:val="20"/>
                <w:lang w:val="en-GB"/>
              </w:rPr>
              <w:t>p.Tyr220*</w:t>
            </w:r>
          </w:p>
        </w:tc>
        <w:tc>
          <w:tcPr>
            <w:tcW w:w="1511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83D41">
              <w:rPr>
                <w:rFonts w:ascii="Arial" w:hAnsi="Arial" w:cs="Arial"/>
                <w:sz w:val="20"/>
                <w:lang w:val="en-GB"/>
              </w:rPr>
              <w:t>51,5</w:t>
            </w:r>
            <w:r w:rsidR="00E621C1" w:rsidRPr="00283D41">
              <w:rPr>
                <w:rFonts w:ascii="Arial" w:hAnsi="Arial" w:cs="Arial"/>
                <w:sz w:val="20"/>
                <w:lang w:val="en-GB"/>
              </w:rPr>
              <w:t>0%</w:t>
            </w:r>
          </w:p>
        </w:tc>
        <w:tc>
          <w:tcPr>
            <w:tcW w:w="1511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Pathogenic, Loss-of-Function</w:t>
            </w:r>
          </w:p>
        </w:tc>
      </w:tr>
      <w:tr w:rsidR="00E621C1" w:rsidTr="00283D41">
        <w:trPr>
          <w:trHeight w:val="871"/>
        </w:trPr>
        <w:tc>
          <w:tcPr>
            <w:tcW w:w="988" w:type="dxa"/>
            <w:vAlign w:val="center"/>
          </w:tcPr>
          <w:p w:rsidR="00E621C1" w:rsidRPr="00283D41" w:rsidRDefault="00E621C1" w:rsidP="00283D41">
            <w:pPr>
              <w:jc w:val="center"/>
              <w:rPr>
                <w:rFonts w:ascii="Arial" w:hAnsi="Arial" w:cs="Arial"/>
                <w:b/>
                <w:i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i/>
                <w:sz w:val="20"/>
                <w:lang w:val="en-GB"/>
              </w:rPr>
              <w:t>BRCA2</w:t>
            </w:r>
          </w:p>
        </w:tc>
        <w:tc>
          <w:tcPr>
            <w:tcW w:w="2032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sz w:val="18"/>
              </w:rPr>
            </w:pPr>
            <w:r w:rsidRPr="00283D41">
              <w:rPr>
                <w:rFonts w:ascii="Arial" w:hAnsi="Arial" w:cs="Arial"/>
                <w:sz w:val="18"/>
              </w:rPr>
              <w:t>ENST00000544455</w:t>
            </w:r>
          </w:p>
        </w:tc>
        <w:tc>
          <w:tcPr>
            <w:tcW w:w="1510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83D41">
              <w:rPr>
                <w:rFonts w:ascii="Arial" w:hAnsi="Arial" w:cs="Arial"/>
                <w:sz w:val="20"/>
                <w:lang w:val="en-GB"/>
              </w:rPr>
              <w:t>c.9116C&gt;G</w:t>
            </w:r>
          </w:p>
        </w:tc>
        <w:tc>
          <w:tcPr>
            <w:tcW w:w="1510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83D41">
              <w:rPr>
                <w:rFonts w:ascii="Arial" w:hAnsi="Arial" w:cs="Arial"/>
                <w:sz w:val="20"/>
                <w:lang w:val="en-GB"/>
              </w:rPr>
              <w:t>p.Pro3039Arg</w:t>
            </w:r>
          </w:p>
        </w:tc>
        <w:tc>
          <w:tcPr>
            <w:tcW w:w="1511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283D41">
              <w:rPr>
                <w:rFonts w:ascii="Arial" w:hAnsi="Arial" w:cs="Arial"/>
                <w:sz w:val="20"/>
                <w:lang w:val="en-GB"/>
              </w:rPr>
              <w:t>42,83</w:t>
            </w:r>
          </w:p>
        </w:tc>
        <w:tc>
          <w:tcPr>
            <w:tcW w:w="1511" w:type="dxa"/>
            <w:vAlign w:val="center"/>
          </w:tcPr>
          <w:p w:rsidR="00E621C1" w:rsidRPr="00283D41" w:rsidRDefault="00283D41" w:rsidP="00283D41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283D41">
              <w:rPr>
                <w:rFonts w:ascii="Arial" w:hAnsi="Arial" w:cs="Arial"/>
                <w:b/>
                <w:sz w:val="20"/>
                <w:lang w:val="en-GB"/>
              </w:rPr>
              <w:t>Variant of uncertain sign</w:t>
            </w:r>
            <w:r>
              <w:rPr>
                <w:rFonts w:ascii="Arial" w:hAnsi="Arial" w:cs="Arial"/>
                <w:b/>
                <w:sz w:val="20"/>
                <w:lang w:val="en-GB"/>
              </w:rPr>
              <w:t>i</w:t>
            </w:r>
            <w:r w:rsidRPr="00283D41">
              <w:rPr>
                <w:rFonts w:ascii="Arial" w:hAnsi="Arial" w:cs="Arial"/>
                <w:b/>
                <w:sz w:val="20"/>
                <w:lang w:val="en-GB"/>
              </w:rPr>
              <w:t>ficance</w:t>
            </w:r>
          </w:p>
        </w:tc>
      </w:tr>
    </w:tbl>
    <w:p w:rsidR="00283D41" w:rsidRDefault="00283D41" w:rsidP="00283D41">
      <w:pPr>
        <w:rPr>
          <w:b/>
          <w:lang w:val="en-GB"/>
        </w:rPr>
      </w:pPr>
    </w:p>
    <w:p w:rsidR="00283D41" w:rsidRDefault="00283D41" w:rsidP="00283D41">
      <w:pPr>
        <w:rPr>
          <w:b/>
          <w:lang w:val="en-GB"/>
        </w:rPr>
      </w:pPr>
      <w:r w:rsidRPr="00283D41">
        <w:rPr>
          <w:b/>
          <w:lang w:val="en-GB"/>
        </w:rPr>
        <w:t xml:space="preserve">A </w:t>
      </w:r>
      <w:r>
        <w:rPr>
          <w:b/>
          <w:lang w:val="en-GB"/>
        </w:rPr>
        <w:t>genetic variant of uncertain significance (VUS)</w:t>
      </w:r>
      <w:r w:rsidRPr="00283D41">
        <w:rPr>
          <w:b/>
          <w:lang w:val="en-GB"/>
        </w:rPr>
        <w:t xml:space="preserve"> in </w:t>
      </w:r>
      <w:r w:rsidRPr="00283D41">
        <w:rPr>
          <w:b/>
          <w:i/>
          <w:lang w:val="en-GB"/>
        </w:rPr>
        <w:t>BRCA2</w:t>
      </w:r>
      <w:r w:rsidRPr="00283D41">
        <w:rPr>
          <w:b/>
          <w:lang w:val="en-GB"/>
        </w:rPr>
        <w:t xml:space="preserve"> was detected in the examined gene regions. </w:t>
      </w:r>
      <w:r w:rsidRPr="00283D41">
        <w:rPr>
          <w:b/>
          <w:i/>
          <w:lang w:val="en-GB"/>
        </w:rPr>
        <w:t>BRCA2</w:t>
      </w:r>
      <w:r>
        <w:rPr>
          <w:b/>
          <w:lang w:val="en-GB"/>
        </w:rPr>
        <w:t xml:space="preserve"> mutations reportedly confer susceptibility to PARP-inhibitors</w:t>
      </w:r>
      <w:r w:rsidRPr="00283D41">
        <w:rPr>
          <w:b/>
          <w:lang w:val="en-GB"/>
        </w:rPr>
        <w:t xml:space="preserve"> </w:t>
      </w:r>
      <w:r>
        <w:rPr>
          <w:b/>
          <w:lang w:val="en-GB"/>
        </w:rPr>
        <w:t xml:space="preserve">such as </w:t>
      </w:r>
      <w:proofErr w:type="spellStart"/>
      <w:r>
        <w:rPr>
          <w:b/>
          <w:lang w:val="en-GB"/>
        </w:rPr>
        <w:t>Olaparib</w:t>
      </w:r>
      <w:proofErr w:type="spellEnd"/>
      <w:r>
        <w:rPr>
          <w:b/>
          <w:lang w:val="en-GB"/>
        </w:rPr>
        <w:t xml:space="preserve"> or </w:t>
      </w:r>
      <w:proofErr w:type="spellStart"/>
      <w:r>
        <w:rPr>
          <w:b/>
          <w:lang w:val="en-GB"/>
        </w:rPr>
        <w:t>Niraparib</w:t>
      </w:r>
      <w:proofErr w:type="spellEnd"/>
      <w:r>
        <w:rPr>
          <w:b/>
          <w:lang w:val="en-GB"/>
        </w:rPr>
        <w:t xml:space="preserve">, which therefore could potentially represent suitable therapy options. </w:t>
      </w:r>
      <w:r>
        <w:rPr>
          <w:b/>
          <w:lang w:val="en-GB"/>
        </w:rPr>
        <w:br/>
      </w:r>
    </w:p>
    <w:p w:rsidR="00283D41" w:rsidRDefault="00283D41" w:rsidP="00283D41">
      <w:pPr>
        <w:rPr>
          <w:b/>
          <w:lang w:val="en-GB"/>
        </w:rPr>
      </w:pPr>
    </w:p>
    <w:p w:rsidR="00283D41" w:rsidRDefault="00283D41" w:rsidP="00283D41">
      <w:pPr>
        <w:rPr>
          <w:b/>
          <w:lang w:val="en-GB"/>
        </w:rPr>
      </w:pPr>
    </w:p>
    <w:p w:rsidR="00283D41" w:rsidRDefault="00283D41" w:rsidP="00283D41">
      <w:pPr>
        <w:rPr>
          <w:b/>
          <w:lang w:val="en-GB"/>
        </w:rPr>
      </w:pPr>
      <w:r>
        <w:rPr>
          <w:b/>
          <w:lang w:val="en-GB"/>
        </w:rPr>
        <w:lastRenderedPageBreak/>
        <w:t>C. In-vitro Therapeutic screening</w:t>
      </w:r>
    </w:p>
    <w:p w:rsidR="00283D41" w:rsidRDefault="00283D41" w:rsidP="00283D41">
      <w:pPr>
        <w:rPr>
          <w:lang w:val="en-GB"/>
        </w:rPr>
      </w:pPr>
      <w:r w:rsidRPr="00283D41">
        <w:rPr>
          <w:lang w:val="en-GB"/>
        </w:rPr>
        <w:t xml:space="preserve">Based on the detected VUS in </w:t>
      </w:r>
      <w:r w:rsidRPr="00283D41">
        <w:rPr>
          <w:i/>
          <w:lang w:val="en-GB"/>
        </w:rPr>
        <w:t>BRCA2</w:t>
      </w:r>
      <w:r w:rsidRPr="00283D41">
        <w:rPr>
          <w:lang w:val="en-GB"/>
        </w:rPr>
        <w:t xml:space="preserve">, the targeted drugs </w:t>
      </w:r>
      <w:proofErr w:type="spellStart"/>
      <w:r w:rsidRPr="00283D41">
        <w:rPr>
          <w:lang w:val="en-GB"/>
        </w:rPr>
        <w:t>Olaparib</w:t>
      </w:r>
      <w:proofErr w:type="spellEnd"/>
      <w:r w:rsidRPr="00283D41">
        <w:rPr>
          <w:lang w:val="en-GB"/>
        </w:rPr>
        <w:t xml:space="preserve"> and </w:t>
      </w:r>
      <w:proofErr w:type="spellStart"/>
      <w:r w:rsidRPr="00283D41">
        <w:rPr>
          <w:lang w:val="en-GB"/>
        </w:rPr>
        <w:t>Niraparib</w:t>
      </w:r>
      <w:proofErr w:type="spellEnd"/>
      <w:r w:rsidRPr="00283D41">
        <w:rPr>
          <w:lang w:val="en-GB"/>
        </w:rPr>
        <w:t xml:space="preserve"> were tested </w:t>
      </w:r>
      <w:r w:rsidRPr="00283D41">
        <w:rPr>
          <w:i/>
          <w:lang w:val="en-GB"/>
        </w:rPr>
        <w:t>in vitro</w:t>
      </w:r>
      <w:r w:rsidRPr="00283D41">
        <w:rPr>
          <w:lang w:val="en-GB"/>
        </w:rPr>
        <w:t xml:space="preserve">. </w:t>
      </w:r>
      <w:r>
        <w:rPr>
          <w:lang w:val="en-GB"/>
        </w:rPr>
        <w:t>Organoids</w:t>
      </w:r>
      <w:r w:rsidRPr="00283D41">
        <w:rPr>
          <w:lang w:val="en-GB"/>
        </w:rPr>
        <w:t xml:space="preserve"> were seeded into a 96-well plate, and the respective drugs were added in triplicates. Cisplatin served as a positive control. We obtained </w:t>
      </w:r>
      <w:r>
        <w:rPr>
          <w:lang w:val="en-GB"/>
        </w:rPr>
        <w:t>the following results:</w:t>
      </w:r>
    </w:p>
    <w:p w:rsidR="00283D41" w:rsidRPr="00381DA6" w:rsidRDefault="00C60664" w:rsidP="00283D41">
      <w:pPr>
        <w:rPr>
          <w:lang w:val="en-US"/>
        </w:rPr>
      </w:pPr>
      <w:r w:rsidRPr="00C60664"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16823</wp:posOffset>
            </wp:positionV>
            <wp:extent cx="4695190" cy="3013710"/>
            <wp:effectExtent l="0" t="0" r="0" b="0"/>
            <wp:wrapSquare wrapText="bothSides"/>
            <wp:docPr id="1" name="Grafik 1" descr="Z:\Molpath-Diagnostik\Kathrin Gundel\ELISA TAP-VUS\Paper\korrigierte Versionen aller Co-Autoren\Version 2\Fig. 6 neu\OC03 drug screening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Molpath-Diagnostik\Kathrin Gundel\ELISA TAP-VUS\Paper\korrigierte Versionen aller Co-Autoren\Version 2\Fig. 6 neu\OC03 drug screening whit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2" t="14349"/>
                    <a:stretch/>
                  </pic:blipFill>
                  <pic:spPr bwMode="auto">
                    <a:xfrm>
                      <a:off x="0" y="0"/>
                      <a:ext cx="469519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3D41" w:rsidRPr="00283D41" w:rsidRDefault="00283D41" w:rsidP="00283D41">
      <w:pPr>
        <w:rPr>
          <w:lang w:val="en-GB"/>
        </w:rPr>
      </w:pPr>
    </w:p>
    <w:p w:rsidR="00283D41" w:rsidRPr="00283D41" w:rsidRDefault="00283D41" w:rsidP="00283D41">
      <w:pPr>
        <w:rPr>
          <w:b/>
          <w:lang w:val="en-GB"/>
        </w:rPr>
      </w:pPr>
    </w:p>
    <w:p w:rsidR="00E621C1" w:rsidRDefault="00E621C1">
      <w:pPr>
        <w:rPr>
          <w:b/>
          <w:lang w:val="en-GB"/>
        </w:rPr>
      </w:pPr>
    </w:p>
    <w:p w:rsidR="00283D41" w:rsidRDefault="00283D41">
      <w:pPr>
        <w:rPr>
          <w:b/>
          <w:lang w:val="en-GB"/>
        </w:rPr>
      </w:pPr>
    </w:p>
    <w:p w:rsidR="00283D41" w:rsidRDefault="00283D41">
      <w:pPr>
        <w:rPr>
          <w:b/>
          <w:lang w:val="en-GB"/>
        </w:rPr>
      </w:pPr>
    </w:p>
    <w:p w:rsidR="00283D41" w:rsidRDefault="00283D41">
      <w:pPr>
        <w:rPr>
          <w:b/>
          <w:lang w:val="en-GB"/>
        </w:rPr>
      </w:pPr>
    </w:p>
    <w:p w:rsidR="00283D41" w:rsidRDefault="00283D41">
      <w:pPr>
        <w:rPr>
          <w:b/>
          <w:lang w:val="en-GB"/>
        </w:rPr>
      </w:pPr>
    </w:p>
    <w:p w:rsidR="00283D41" w:rsidRDefault="00283D41">
      <w:pPr>
        <w:rPr>
          <w:b/>
          <w:lang w:val="en-GB"/>
        </w:rPr>
      </w:pPr>
    </w:p>
    <w:p w:rsidR="00283D41" w:rsidRDefault="00283D41">
      <w:pPr>
        <w:rPr>
          <w:b/>
          <w:lang w:val="en-GB"/>
        </w:rPr>
      </w:pPr>
    </w:p>
    <w:p w:rsidR="00283D41" w:rsidRDefault="00283D41">
      <w:pPr>
        <w:rPr>
          <w:b/>
          <w:lang w:val="en-GB"/>
        </w:rPr>
      </w:pPr>
    </w:p>
    <w:p w:rsidR="00C60664" w:rsidRDefault="00283D41" w:rsidP="00283D41">
      <w:pPr>
        <w:rPr>
          <w:b/>
          <w:lang w:val="en-GB"/>
        </w:rPr>
      </w:pPr>
      <w:r w:rsidRPr="001B118E">
        <w:rPr>
          <w:lang w:val="en-GB"/>
        </w:rPr>
        <w:t xml:space="preserve">The obtained results show a moderate response to </w:t>
      </w:r>
      <w:proofErr w:type="spellStart"/>
      <w:r w:rsidR="00686802">
        <w:rPr>
          <w:lang w:val="en-GB"/>
        </w:rPr>
        <w:t>o</w:t>
      </w:r>
      <w:r w:rsidRPr="001B118E">
        <w:rPr>
          <w:lang w:val="en-GB"/>
        </w:rPr>
        <w:t>laparib</w:t>
      </w:r>
      <w:proofErr w:type="spellEnd"/>
      <w:r w:rsidRPr="001B118E">
        <w:rPr>
          <w:lang w:val="en-GB"/>
        </w:rPr>
        <w:t xml:space="preserve">. Response to </w:t>
      </w:r>
      <w:proofErr w:type="spellStart"/>
      <w:r w:rsidR="00686802">
        <w:rPr>
          <w:lang w:val="en-GB"/>
        </w:rPr>
        <w:t>n</w:t>
      </w:r>
      <w:r w:rsidRPr="001B118E">
        <w:rPr>
          <w:lang w:val="en-GB"/>
        </w:rPr>
        <w:t>iraparib</w:t>
      </w:r>
      <w:proofErr w:type="spellEnd"/>
      <w:r w:rsidRPr="001B118E">
        <w:rPr>
          <w:lang w:val="en-GB"/>
        </w:rPr>
        <w:t xml:space="preserve"> is considered questionable, as a cell viability of 66.58% was measured at a concentration of 10 µM</w:t>
      </w:r>
      <w:r w:rsidR="001B118E">
        <w:rPr>
          <w:lang w:val="en-GB"/>
        </w:rPr>
        <w:t>, which was higher compared to lower drug concentrations</w:t>
      </w:r>
      <w:r w:rsidRPr="001B118E">
        <w:rPr>
          <w:lang w:val="en-GB"/>
        </w:rPr>
        <w:t>. A possible explana</w:t>
      </w:r>
      <w:r w:rsidR="001B118E">
        <w:rPr>
          <w:lang w:val="en-GB"/>
        </w:rPr>
        <w:t xml:space="preserve">tion could be the presence of single </w:t>
      </w:r>
      <w:r w:rsidRPr="001B118E">
        <w:rPr>
          <w:lang w:val="en-GB"/>
        </w:rPr>
        <w:t>very large organoid</w:t>
      </w:r>
      <w:r w:rsidR="001B118E">
        <w:rPr>
          <w:lang w:val="en-GB"/>
        </w:rPr>
        <w:t>s</w:t>
      </w:r>
      <w:r w:rsidRPr="001B118E">
        <w:rPr>
          <w:lang w:val="en-GB"/>
        </w:rPr>
        <w:t xml:space="preserve"> in one of the three wells.</w:t>
      </w:r>
    </w:p>
    <w:p w:rsidR="001B118E" w:rsidRDefault="001B118E" w:rsidP="00283D41">
      <w:pPr>
        <w:rPr>
          <w:b/>
          <w:lang w:val="en-GB"/>
        </w:rPr>
      </w:pPr>
    </w:p>
    <w:p w:rsidR="00283D41" w:rsidRDefault="00283D41" w:rsidP="00283D41">
      <w:pPr>
        <w:rPr>
          <w:b/>
          <w:lang w:val="en-GB"/>
        </w:rPr>
      </w:pPr>
      <w:r>
        <w:rPr>
          <w:b/>
          <w:lang w:val="en-GB"/>
        </w:rPr>
        <w:t xml:space="preserve">D. </w:t>
      </w:r>
      <w:r w:rsidR="001B118E">
        <w:rPr>
          <w:b/>
          <w:lang w:val="en-GB"/>
        </w:rPr>
        <w:t>Recommendation</w:t>
      </w:r>
    </w:p>
    <w:p w:rsidR="00283D41" w:rsidRDefault="001B118E" w:rsidP="00283D41">
      <w:pPr>
        <w:rPr>
          <w:b/>
          <w:lang w:val="en-GB"/>
        </w:rPr>
      </w:pPr>
      <w:r>
        <w:rPr>
          <w:b/>
          <w:lang w:val="en-GB"/>
        </w:rPr>
        <w:t xml:space="preserve">The </w:t>
      </w:r>
      <w:r w:rsidR="00283D41">
        <w:rPr>
          <w:b/>
          <w:lang w:val="en-GB"/>
        </w:rPr>
        <w:t xml:space="preserve">obtained results demonstrated a good therapeutic response of the </w:t>
      </w:r>
      <w:r>
        <w:rPr>
          <w:b/>
          <w:lang w:val="en-GB"/>
        </w:rPr>
        <w:t>patient-derived</w:t>
      </w:r>
      <w:r w:rsidR="00283D41">
        <w:rPr>
          <w:b/>
          <w:lang w:val="en-GB"/>
        </w:rPr>
        <w:t xml:space="preserve"> tumor </w:t>
      </w:r>
      <w:r>
        <w:rPr>
          <w:b/>
          <w:lang w:val="en-GB"/>
        </w:rPr>
        <w:t xml:space="preserve">organoids </w:t>
      </w:r>
      <w:r w:rsidR="00283D41">
        <w:rPr>
          <w:b/>
          <w:lang w:val="en-GB"/>
        </w:rPr>
        <w:t xml:space="preserve">to treatment with </w:t>
      </w:r>
      <w:proofErr w:type="spellStart"/>
      <w:r w:rsidR="00686802">
        <w:rPr>
          <w:b/>
          <w:lang w:val="en-GB"/>
        </w:rPr>
        <w:t>o</w:t>
      </w:r>
      <w:r w:rsidR="00283D41">
        <w:rPr>
          <w:b/>
          <w:lang w:val="en-GB"/>
        </w:rPr>
        <w:t>laparib</w:t>
      </w:r>
      <w:proofErr w:type="spellEnd"/>
      <w:r w:rsidR="00283D41">
        <w:rPr>
          <w:b/>
          <w:lang w:val="en-GB"/>
        </w:rPr>
        <w:t>. A similar</w:t>
      </w:r>
      <w:r>
        <w:rPr>
          <w:b/>
          <w:lang w:val="en-GB"/>
        </w:rPr>
        <w:t>ly strong</w:t>
      </w:r>
      <w:r w:rsidR="00283D41">
        <w:rPr>
          <w:b/>
          <w:lang w:val="en-GB"/>
        </w:rPr>
        <w:t xml:space="preserve">, </w:t>
      </w:r>
      <w:r>
        <w:rPr>
          <w:b/>
          <w:lang w:val="en-GB"/>
        </w:rPr>
        <w:t>however</w:t>
      </w:r>
      <w:r w:rsidR="00283D41">
        <w:rPr>
          <w:b/>
          <w:lang w:val="en-GB"/>
        </w:rPr>
        <w:t xml:space="preserve"> inconsistent response was observed with </w:t>
      </w:r>
      <w:proofErr w:type="spellStart"/>
      <w:r w:rsidR="00686802">
        <w:rPr>
          <w:b/>
          <w:lang w:val="en-GB"/>
        </w:rPr>
        <w:t>n</w:t>
      </w:r>
      <w:r w:rsidR="00283D41">
        <w:rPr>
          <w:b/>
          <w:lang w:val="en-GB"/>
        </w:rPr>
        <w:t>iraparib</w:t>
      </w:r>
      <w:proofErr w:type="spellEnd"/>
      <w:r w:rsidR="00283D41">
        <w:rPr>
          <w:b/>
          <w:lang w:val="en-GB"/>
        </w:rPr>
        <w:t xml:space="preserve">. </w:t>
      </w:r>
    </w:p>
    <w:p w:rsidR="00283D41" w:rsidRDefault="00283D41" w:rsidP="00283D41">
      <w:pPr>
        <w:rPr>
          <w:b/>
          <w:lang w:val="en-GB"/>
        </w:rPr>
      </w:pPr>
      <w:r>
        <w:rPr>
          <w:b/>
          <w:lang w:val="en-GB"/>
        </w:rPr>
        <w:t xml:space="preserve">We therefore recommend </w:t>
      </w:r>
      <w:proofErr w:type="spellStart"/>
      <w:r w:rsidR="00686802">
        <w:rPr>
          <w:b/>
          <w:lang w:val="en-GB"/>
        </w:rPr>
        <w:t>o</w:t>
      </w:r>
      <w:r>
        <w:rPr>
          <w:b/>
          <w:lang w:val="en-GB"/>
        </w:rPr>
        <w:t>laparib</w:t>
      </w:r>
      <w:proofErr w:type="spellEnd"/>
      <w:r>
        <w:rPr>
          <w:b/>
          <w:lang w:val="en-GB"/>
        </w:rPr>
        <w:t xml:space="preserve"> as the preferred therapy option. </w:t>
      </w:r>
    </w:p>
    <w:p w:rsidR="00283D41" w:rsidRPr="00283D41" w:rsidRDefault="00283D41" w:rsidP="00283D41">
      <w:pPr>
        <w:rPr>
          <w:b/>
          <w:lang w:val="en-GB"/>
        </w:rPr>
      </w:pPr>
      <w:bookmarkStart w:id="0" w:name="_GoBack"/>
      <w:bookmarkEnd w:id="0"/>
    </w:p>
    <w:p w:rsidR="00283D41" w:rsidRPr="00285CB8" w:rsidRDefault="00283D41">
      <w:pPr>
        <w:rPr>
          <w:b/>
          <w:lang w:val="en-GB"/>
        </w:rPr>
      </w:pPr>
    </w:p>
    <w:sectPr w:rsidR="00283D41" w:rsidRPr="00285C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7E"/>
    <w:rsid w:val="001B118E"/>
    <w:rsid w:val="001C0375"/>
    <w:rsid w:val="00283D41"/>
    <w:rsid w:val="00285CB8"/>
    <w:rsid w:val="002A3F9A"/>
    <w:rsid w:val="00381DA6"/>
    <w:rsid w:val="00686802"/>
    <w:rsid w:val="00905E7E"/>
    <w:rsid w:val="00A31551"/>
    <w:rsid w:val="00C60664"/>
    <w:rsid w:val="00CC15A3"/>
    <w:rsid w:val="00D44894"/>
    <w:rsid w:val="00E6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81FB"/>
  <w15:chartTrackingRefBased/>
  <w15:docId w15:val="{B10AC98E-55FA-4166-8581-8BBD9F2C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448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D44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0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0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Gundel, Kathrin</dc:creator>
  <cp:keywords/>
  <dc:description/>
  <cp:lastModifiedBy>Tischler, Prof. Verena</cp:lastModifiedBy>
  <cp:revision>7</cp:revision>
  <dcterms:created xsi:type="dcterms:W3CDTF">2026-03-17T11:54:00Z</dcterms:created>
  <dcterms:modified xsi:type="dcterms:W3CDTF">2026-05-21T18:42:00Z</dcterms:modified>
</cp:coreProperties>
</file>