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F339" w14:textId="77777777" w:rsidR="00BA3F4F" w:rsidRPr="001937EB" w:rsidRDefault="00BA3F4F" w:rsidP="00BA3F4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3CE">
        <w:rPr>
          <w:rFonts w:ascii="Times New Roman" w:hAnsi="Times New Roman" w:cs="Times New Roman"/>
          <w:sz w:val="24"/>
          <w:szCs w:val="24"/>
        </w:rPr>
        <w:t xml:space="preserve">Table 1. </w:t>
      </w:r>
      <w:r>
        <w:rPr>
          <w:rFonts w:ascii="Times New Roman" w:hAnsi="Times New Roman" w:cs="Times New Roman"/>
          <w:sz w:val="24"/>
          <w:szCs w:val="24"/>
        </w:rPr>
        <w:t>Sociodemographic and economic</w:t>
      </w:r>
      <w:r w:rsidRPr="00D273CE">
        <w:rPr>
          <w:rFonts w:ascii="Times New Roman" w:hAnsi="Times New Roman" w:cs="Times New Roman"/>
          <w:sz w:val="24"/>
          <w:szCs w:val="24"/>
        </w:rPr>
        <w:t xml:space="preserve"> characteristics of </w:t>
      </w:r>
      <w:r>
        <w:rPr>
          <w:rFonts w:ascii="Times New Roman" w:hAnsi="Times New Roman" w:cs="Times New Roman"/>
          <w:sz w:val="24"/>
          <w:szCs w:val="24"/>
        </w:rPr>
        <w:t xml:space="preserve">WRA women </w:t>
      </w:r>
      <w:r w:rsidRPr="00D273CE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chiro</w:t>
      </w:r>
      <w:r w:rsidRPr="00D273CE">
        <w:rPr>
          <w:rFonts w:ascii="Times New Roman" w:hAnsi="Times New Roman" w:cs="Times New Roman"/>
          <w:sz w:val="24"/>
          <w:szCs w:val="24"/>
        </w:rPr>
        <w:t xml:space="preserve"> district, Eastern Ethiopia, 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D273CE">
        <w:rPr>
          <w:rFonts w:ascii="Times New Roman" w:hAnsi="Times New Roman" w:cs="Times New Roman"/>
          <w:sz w:val="24"/>
          <w:szCs w:val="24"/>
        </w:rPr>
        <w:t>(n=</w:t>
      </w:r>
      <w:r>
        <w:rPr>
          <w:rFonts w:ascii="Times New Roman" w:hAnsi="Times New Roman" w:cs="Times New Roman"/>
          <w:sz w:val="24"/>
          <w:szCs w:val="24"/>
        </w:rPr>
        <w:t>608</w:t>
      </w:r>
      <w:r w:rsidRPr="00D273CE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1077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364"/>
      </w:tblGrid>
      <w:tr w:rsidR="00BA3F4F" w14:paraId="73CA8B15" w14:textId="77777777" w:rsidTr="008E1402">
        <w:trPr>
          <w:trHeight w:val="473"/>
        </w:trPr>
        <w:tc>
          <w:tcPr>
            <w:tcW w:w="10774" w:type="dxa"/>
            <w:gridSpan w:val="2"/>
            <w:tcBorders>
              <w:left w:val="nil"/>
              <w:right w:val="nil"/>
            </w:tcBorders>
          </w:tcPr>
          <w:p w14:paraId="607E9943" w14:textId="77777777" w:rsidR="00BA3F4F" w:rsidRPr="00D41B6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B63">
              <w:rPr>
                <w:rFonts w:ascii="Times New Roman" w:hAnsi="Times New Roman" w:cs="Times New Roman"/>
                <w:b/>
                <w:sz w:val="20"/>
                <w:szCs w:val="20"/>
              </w:rPr>
              <w:t>Women characteristics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</w:t>
            </w:r>
            <w:r w:rsidRPr="00D41B63">
              <w:rPr>
                <w:rFonts w:ascii="Times New Roman" w:hAnsi="Times New Roman" w:cs="Times New Roman"/>
                <w:b/>
                <w:sz w:val="20"/>
                <w:szCs w:val="20"/>
              </w:rPr>
              <w:t>P-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beneficiary households(304)</w:t>
            </w:r>
            <w:r w:rsidRPr="00D41B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N</w:t>
            </w:r>
            <w:r w:rsidRPr="00D41B63">
              <w:rPr>
                <w:rFonts w:ascii="Times New Roman" w:hAnsi="Times New Roman" w:cs="Times New Roman"/>
                <w:b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41B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PSNP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beneficiary households</w:t>
            </w:r>
            <w:r w:rsidRPr="00D41B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(304)</w:t>
            </w:r>
          </w:p>
        </w:tc>
      </w:tr>
      <w:tr w:rsidR="00BA3F4F" w14:paraId="64F949D4" w14:textId="77777777" w:rsidTr="008E1402">
        <w:trPr>
          <w:trHeight w:val="374"/>
        </w:trPr>
        <w:tc>
          <w:tcPr>
            <w:tcW w:w="2410" w:type="dxa"/>
            <w:vMerge w:val="restart"/>
            <w:tcBorders>
              <w:left w:val="nil"/>
              <w:right w:val="nil"/>
            </w:tcBorders>
          </w:tcPr>
          <w:p w14:paraId="3C46AC79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Age </w:t>
            </w: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7E5383EE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left="225" w:right="4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>&lt;30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77(25.3%)                                80(26.3%)</w:t>
            </w:r>
          </w:p>
        </w:tc>
      </w:tr>
      <w:tr w:rsidR="00BA3F4F" w14:paraId="08F47A07" w14:textId="77777777" w:rsidTr="008E1402">
        <w:trPr>
          <w:trHeight w:val="242"/>
        </w:trPr>
        <w:tc>
          <w:tcPr>
            <w:tcW w:w="2410" w:type="dxa"/>
            <w:vMerge/>
            <w:tcBorders>
              <w:left w:val="nil"/>
              <w:right w:val="nil"/>
            </w:tcBorders>
          </w:tcPr>
          <w:p w14:paraId="4A923A55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66D4B36E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left="225" w:right="4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>31-40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162(53.3%)                              151(49.7%)</w:t>
            </w:r>
          </w:p>
        </w:tc>
      </w:tr>
      <w:tr w:rsidR="00BA3F4F" w14:paraId="0AAC62B0" w14:textId="77777777" w:rsidTr="008E1402">
        <w:trPr>
          <w:trHeight w:val="375"/>
        </w:trPr>
        <w:tc>
          <w:tcPr>
            <w:tcW w:w="2410" w:type="dxa"/>
            <w:vMerge/>
            <w:tcBorders>
              <w:left w:val="nil"/>
              <w:right w:val="nil"/>
            </w:tcBorders>
          </w:tcPr>
          <w:p w14:paraId="25FA03B6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036D1432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left="225" w:right="4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>&gt;40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65(21.4%)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73(24%)</w:t>
            </w:r>
          </w:p>
        </w:tc>
      </w:tr>
      <w:tr w:rsidR="00BA3F4F" w14:paraId="14007D3C" w14:textId="77777777" w:rsidTr="008E1402">
        <w:trPr>
          <w:trHeight w:val="245"/>
        </w:trPr>
        <w:tc>
          <w:tcPr>
            <w:tcW w:w="2410" w:type="dxa"/>
            <w:vMerge w:val="restart"/>
            <w:tcBorders>
              <w:left w:val="nil"/>
              <w:right w:val="nil"/>
            </w:tcBorders>
          </w:tcPr>
          <w:p w14:paraId="1252A6F9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Marital status </w:t>
            </w:r>
          </w:p>
          <w:p w14:paraId="07DC584E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2B346481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left="225" w:right="4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Married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231(76%)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209(68.8%)</w:t>
            </w:r>
          </w:p>
        </w:tc>
      </w:tr>
      <w:tr w:rsidR="00BA3F4F" w14:paraId="59E58A50" w14:textId="77777777" w:rsidTr="008E1402">
        <w:trPr>
          <w:trHeight w:val="297"/>
        </w:trPr>
        <w:tc>
          <w:tcPr>
            <w:tcW w:w="2410" w:type="dxa"/>
            <w:vMerge/>
            <w:tcBorders>
              <w:left w:val="nil"/>
              <w:right w:val="nil"/>
            </w:tcBorders>
          </w:tcPr>
          <w:p w14:paraId="71D12E80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00F1DE30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left="225" w:right="4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Divorced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19(6.3%)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20(6.6%)</w:t>
            </w:r>
          </w:p>
        </w:tc>
      </w:tr>
      <w:tr w:rsidR="00BA3F4F" w14:paraId="4A630CC3" w14:textId="77777777" w:rsidTr="008E1402">
        <w:trPr>
          <w:trHeight w:val="352"/>
        </w:trPr>
        <w:tc>
          <w:tcPr>
            <w:tcW w:w="2410" w:type="dxa"/>
            <w:vMerge/>
            <w:tcBorders>
              <w:left w:val="nil"/>
              <w:right w:val="nil"/>
            </w:tcBorders>
          </w:tcPr>
          <w:p w14:paraId="55F805B7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27001CF1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left="225" w:right="4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>Widowed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23(7.6%)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27(8.9%)</w:t>
            </w:r>
          </w:p>
        </w:tc>
      </w:tr>
      <w:tr w:rsidR="00BA3F4F" w14:paraId="35286F52" w14:textId="77777777" w:rsidTr="008E1402">
        <w:trPr>
          <w:trHeight w:val="253"/>
        </w:trPr>
        <w:tc>
          <w:tcPr>
            <w:tcW w:w="2410" w:type="dxa"/>
            <w:vMerge/>
            <w:tcBorders>
              <w:left w:val="nil"/>
              <w:right w:val="nil"/>
            </w:tcBorders>
          </w:tcPr>
          <w:p w14:paraId="54ED6C0E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33573F69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left="225" w:right="4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Single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31(10.2%)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48(15.8%)</w:t>
            </w:r>
          </w:p>
        </w:tc>
      </w:tr>
      <w:tr w:rsidR="00BA3F4F" w14:paraId="5CBC0E5D" w14:textId="77777777" w:rsidTr="008E1402">
        <w:trPr>
          <w:trHeight w:val="198"/>
        </w:trPr>
        <w:tc>
          <w:tcPr>
            <w:tcW w:w="2410" w:type="dxa"/>
            <w:vMerge w:val="restart"/>
            <w:tcBorders>
              <w:left w:val="nil"/>
              <w:right w:val="nil"/>
            </w:tcBorders>
          </w:tcPr>
          <w:p w14:paraId="6B435DE6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Educational status </w:t>
            </w: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12763AD7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right="4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 formal education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141(46.3%)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139(45.7%)</w:t>
            </w:r>
          </w:p>
        </w:tc>
      </w:tr>
      <w:tr w:rsidR="00BA3F4F" w14:paraId="648AC4EE" w14:textId="77777777" w:rsidTr="008E1402">
        <w:trPr>
          <w:trHeight w:val="341"/>
        </w:trPr>
        <w:tc>
          <w:tcPr>
            <w:tcW w:w="2410" w:type="dxa"/>
            <w:vMerge/>
            <w:tcBorders>
              <w:left w:val="nil"/>
              <w:right w:val="nil"/>
            </w:tcBorders>
          </w:tcPr>
          <w:p w14:paraId="357FF1D5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086D4F60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right="4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Primary education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124(40%)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135(44.4%)</w:t>
            </w:r>
          </w:p>
        </w:tc>
      </w:tr>
      <w:tr w:rsidR="00BA3F4F" w14:paraId="24C8FE66" w14:textId="77777777" w:rsidTr="008E1402">
        <w:trPr>
          <w:trHeight w:val="451"/>
        </w:trPr>
        <w:tc>
          <w:tcPr>
            <w:tcW w:w="2410" w:type="dxa"/>
            <w:vMerge/>
            <w:tcBorders>
              <w:left w:val="nil"/>
              <w:right w:val="nil"/>
            </w:tcBorders>
          </w:tcPr>
          <w:p w14:paraId="3AB1BAFF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4F5FAEFD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right="4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Secondary education and above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39(12.8%)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39(12.8%)</w:t>
            </w:r>
          </w:p>
        </w:tc>
      </w:tr>
      <w:tr w:rsidR="00BA3F4F" w14:paraId="36F388EC" w14:textId="77777777" w:rsidTr="008E1402">
        <w:trPr>
          <w:trHeight w:val="297"/>
        </w:trPr>
        <w:tc>
          <w:tcPr>
            <w:tcW w:w="2410" w:type="dxa"/>
            <w:vMerge w:val="restart"/>
            <w:tcBorders>
              <w:left w:val="nil"/>
              <w:right w:val="nil"/>
            </w:tcBorders>
          </w:tcPr>
          <w:p w14:paraId="4DD44467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Occupation </w:t>
            </w: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635109D8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Farmer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206(67.7%)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207(68%)</w:t>
            </w:r>
          </w:p>
        </w:tc>
      </w:tr>
      <w:tr w:rsidR="00BA3F4F" w14:paraId="1E25F593" w14:textId="77777777" w:rsidTr="008E1402">
        <w:trPr>
          <w:trHeight w:val="297"/>
        </w:trPr>
        <w:tc>
          <w:tcPr>
            <w:tcW w:w="2410" w:type="dxa"/>
            <w:vMerge/>
            <w:tcBorders>
              <w:left w:val="nil"/>
              <w:right w:val="nil"/>
            </w:tcBorders>
          </w:tcPr>
          <w:p w14:paraId="37D89D54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0C185FF5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Merchant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41(13.4%)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62(20.3%)</w:t>
            </w:r>
          </w:p>
        </w:tc>
      </w:tr>
      <w:tr w:rsidR="00BA3F4F" w14:paraId="7305CCE6" w14:textId="77777777" w:rsidTr="008E1402">
        <w:trPr>
          <w:trHeight w:val="416"/>
        </w:trPr>
        <w:tc>
          <w:tcPr>
            <w:tcW w:w="2410" w:type="dxa"/>
            <w:vMerge/>
            <w:tcBorders>
              <w:left w:val="nil"/>
              <w:right w:val="nil"/>
            </w:tcBorders>
          </w:tcPr>
          <w:p w14:paraId="314ACB64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1D697DA4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Others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57(18.7%)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35(11.5%)</w:t>
            </w:r>
          </w:p>
        </w:tc>
      </w:tr>
      <w:tr w:rsidR="00BA3F4F" w14:paraId="402619CF" w14:textId="77777777" w:rsidTr="008E1402">
        <w:trPr>
          <w:trHeight w:val="297"/>
        </w:trPr>
        <w:tc>
          <w:tcPr>
            <w:tcW w:w="2410" w:type="dxa"/>
            <w:vMerge w:val="restart"/>
            <w:tcBorders>
              <w:left w:val="nil"/>
              <w:right w:val="nil"/>
            </w:tcBorders>
          </w:tcPr>
          <w:p w14:paraId="409288F8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Family Size </w:t>
            </w: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509D5DD8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>≤3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170(55.9%)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188(61.8%)</w:t>
            </w:r>
          </w:p>
        </w:tc>
      </w:tr>
      <w:tr w:rsidR="00BA3F4F" w14:paraId="46886C73" w14:textId="77777777" w:rsidTr="008E1402">
        <w:trPr>
          <w:trHeight w:val="786"/>
        </w:trPr>
        <w:tc>
          <w:tcPr>
            <w:tcW w:w="2410" w:type="dxa"/>
            <w:vMerge/>
            <w:tcBorders>
              <w:left w:val="nil"/>
              <w:right w:val="nil"/>
            </w:tcBorders>
          </w:tcPr>
          <w:p w14:paraId="10B8FB16" w14:textId="77777777" w:rsidR="00BA3F4F" w:rsidRPr="00E02113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nil"/>
              <w:right w:val="nil"/>
            </w:tcBorders>
          </w:tcPr>
          <w:p w14:paraId="23852926" w14:textId="77777777" w:rsidR="00BA3F4F" w:rsidRPr="006E5D6A" w:rsidRDefault="00BA3F4F" w:rsidP="008E1402">
            <w:pPr>
              <w:shd w:val="clear" w:color="auto" w:fill="FFFFFF"/>
              <w:spacing w:after="120" w:line="480" w:lineRule="auto"/>
              <w:ind w:left="22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113">
              <w:rPr>
                <w:rFonts w:ascii="Times New Roman" w:hAnsi="Times New Roman" w:cs="Times New Roman"/>
                <w:b/>
                <w:sz w:val="20"/>
                <w:szCs w:val="20"/>
              </w:rPr>
              <w:t>≥4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134(44%)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116(38.1%)</w:t>
            </w:r>
          </w:p>
        </w:tc>
      </w:tr>
    </w:tbl>
    <w:tbl>
      <w:tblPr>
        <w:tblW w:w="107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7654"/>
      </w:tblGrid>
      <w:tr w:rsidR="00BA3F4F" w14:paraId="2A25CB8B" w14:textId="77777777" w:rsidTr="008E1402">
        <w:trPr>
          <w:trHeight w:val="338"/>
        </w:trPr>
        <w:tc>
          <w:tcPr>
            <w:tcW w:w="3119" w:type="dxa"/>
            <w:vMerge w:val="restart"/>
            <w:tcBorders>
              <w:left w:val="nil"/>
              <w:right w:val="nil"/>
            </w:tcBorders>
          </w:tcPr>
          <w:p w14:paraId="7AB542DA" w14:textId="77777777" w:rsidR="00BA3F4F" w:rsidRPr="00C42E90" w:rsidRDefault="00BA3F4F" w:rsidP="008E1402">
            <w:pPr>
              <w:shd w:val="clear" w:color="auto" w:fill="FFFFFF"/>
              <w:spacing w:after="120" w:line="480" w:lineRule="auto"/>
              <w:ind w:left="75" w:right="4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Household month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t>income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(ETB)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16D2A58D" w14:textId="77777777" w:rsidR="00BA3F4F" w:rsidRPr="008F2281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t>≤3000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200(65.7%)                         210(69%)</w:t>
            </w:r>
          </w:p>
        </w:tc>
      </w:tr>
      <w:tr w:rsidR="00BA3F4F" w14:paraId="03275FEB" w14:textId="77777777" w:rsidTr="008E1402">
        <w:trPr>
          <w:trHeight w:val="301"/>
        </w:trPr>
        <w:tc>
          <w:tcPr>
            <w:tcW w:w="3119" w:type="dxa"/>
            <w:vMerge/>
            <w:tcBorders>
              <w:left w:val="nil"/>
              <w:right w:val="nil"/>
            </w:tcBorders>
          </w:tcPr>
          <w:p w14:paraId="06FE6B9E" w14:textId="77777777" w:rsidR="00BA3F4F" w:rsidRPr="00C42E90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697330E3" w14:textId="77777777" w:rsidR="00BA3F4F" w:rsidRPr="008F2281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t>3001-5000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90(29.6%)                           68(22.3%)</w:t>
            </w:r>
          </w:p>
        </w:tc>
      </w:tr>
      <w:tr w:rsidR="00BA3F4F" w14:paraId="547669C7" w14:textId="77777777" w:rsidTr="008E1402">
        <w:trPr>
          <w:trHeight w:val="563"/>
        </w:trPr>
        <w:tc>
          <w:tcPr>
            <w:tcW w:w="3119" w:type="dxa"/>
            <w:vMerge/>
            <w:tcBorders>
              <w:left w:val="nil"/>
              <w:right w:val="nil"/>
            </w:tcBorders>
          </w:tcPr>
          <w:p w14:paraId="1897599E" w14:textId="77777777" w:rsidR="00BA3F4F" w:rsidRPr="00C42E90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0155D26E" w14:textId="77777777" w:rsidR="00BA3F4F" w:rsidRPr="008F2281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t>&gt;5000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14(4.6%)                             26(8.5%)</w:t>
            </w:r>
          </w:p>
        </w:tc>
      </w:tr>
      <w:tr w:rsidR="00BA3F4F" w14:paraId="33176CA0" w14:textId="77777777" w:rsidTr="008E1402">
        <w:trPr>
          <w:trHeight w:val="372"/>
        </w:trPr>
        <w:tc>
          <w:tcPr>
            <w:tcW w:w="3119" w:type="dxa"/>
            <w:vMerge w:val="restart"/>
            <w:tcBorders>
              <w:left w:val="nil"/>
              <w:right w:val="nil"/>
            </w:tcBorders>
          </w:tcPr>
          <w:p w14:paraId="5DC4CA63" w14:textId="77777777" w:rsidR="00BA3F4F" w:rsidRPr="00C42E90" w:rsidRDefault="00BA3F4F" w:rsidP="008E1402">
            <w:pPr>
              <w:shd w:val="clear" w:color="auto" w:fill="FFFFFF"/>
              <w:spacing w:after="120" w:line="480" w:lineRule="auto"/>
              <w:ind w:left="75" w:right="4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Presence of Agricultural Land 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61952E20" w14:textId="77777777" w:rsidR="00BA3F4F" w:rsidRPr="008F2281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259(85.1%)                         267(87.8%)</w:t>
            </w:r>
          </w:p>
        </w:tc>
      </w:tr>
      <w:tr w:rsidR="00BA3F4F" w14:paraId="7F6FBB5B" w14:textId="77777777" w:rsidTr="008E1402">
        <w:trPr>
          <w:trHeight w:val="233"/>
        </w:trPr>
        <w:tc>
          <w:tcPr>
            <w:tcW w:w="3119" w:type="dxa"/>
            <w:vMerge/>
            <w:tcBorders>
              <w:left w:val="nil"/>
              <w:right w:val="nil"/>
            </w:tcBorders>
          </w:tcPr>
          <w:p w14:paraId="24AEF84A" w14:textId="77777777" w:rsidR="00BA3F4F" w:rsidRPr="00C42E90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6777F144" w14:textId="77777777" w:rsidR="00BA3F4F" w:rsidRPr="008F2281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45(14.8%)                           37(12.1%)</w:t>
            </w:r>
          </w:p>
        </w:tc>
      </w:tr>
      <w:tr w:rsidR="00BA3F4F" w14:paraId="15CE8A51" w14:textId="77777777" w:rsidTr="008E1402">
        <w:trPr>
          <w:trHeight w:val="388"/>
        </w:trPr>
        <w:tc>
          <w:tcPr>
            <w:tcW w:w="3119" w:type="dxa"/>
            <w:vMerge w:val="restart"/>
            <w:tcBorders>
              <w:left w:val="nil"/>
              <w:right w:val="nil"/>
            </w:tcBorders>
          </w:tcPr>
          <w:p w14:paraId="7C738359" w14:textId="77777777" w:rsidR="00BA3F4F" w:rsidRPr="00C42E90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Presence of income generating pet 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7682DFBF" w14:textId="77777777" w:rsidR="00BA3F4F" w:rsidRPr="008F2281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19(6.2%)                             135(44.4%)</w:t>
            </w:r>
          </w:p>
        </w:tc>
      </w:tr>
      <w:tr w:rsidR="00BA3F4F" w14:paraId="0A6248BF" w14:textId="77777777" w:rsidTr="008E1402">
        <w:trPr>
          <w:trHeight w:val="254"/>
        </w:trPr>
        <w:tc>
          <w:tcPr>
            <w:tcW w:w="3119" w:type="dxa"/>
            <w:vMerge/>
            <w:tcBorders>
              <w:left w:val="nil"/>
              <w:right w:val="nil"/>
            </w:tcBorders>
          </w:tcPr>
          <w:p w14:paraId="2F9CF681" w14:textId="77777777" w:rsidR="00BA3F4F" w:rsidRPr="00C42E90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33A98BBB" w14:textId="77777777" w:rsidR="00BA3F4F" w:rsidRPr="008F2281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205(67.4%)                         169(55.5%)</w:t>
            </w:r>
          </w:p>
        </w:tc>
      </w:tr>
      <w:tr w:rsidR="00BA3F4F" w14:paraId="7FB1A9ED" w14:textId="77777777" w:rsidTr="008E1402">
        <w:trPr>
          <w:trHeight w:val="306"/>
        </w:trPr>
        <w:tc>
          <w:tcPr>
            <w:tcW w:w="3119" w:type="dxa"/>
            <w:vMerge w:val="restart"/>
            <w:tcBorders>
              <w:left w:val="nil"/>
              <w:right w:val="nil"/>
            </w:tcBorders>
          </w:tcPr>
          <w:p w14:paraId="778D899F" w14:textId="77777777" w:rsidR="00BA3F4F" w:rsidRPr="00C42E90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Money spent daily for food 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0BE5887C" w14:textId="77777777" w:rsidR="00BA3F4F" w:rsidRPr="008F2281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&lt;100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72(23.6%)                            79(25.9%)</w:t>
            </w:r>
          </w:p>
        </w:tc>
      </w:tr>
      <w:tr w:rsidR="00BA3F4F" w14:paraId="4ACA8C1D" w14:textId="77777777" w:rsidTr="008E1402">
        <w:trPr>
          <w:trHeight w:val="330"/>
        </w:trPr>
        <w:tc>
          <w:tcPr>
            <w:tcW w:w="3119" w:type="dxa"/>
            <w:vMerge/>
            <w:tcBorders>
              <w:left w:val="nil"/>
              <w:right w:val="nil"/>
            </w:tcBorders>
          </w:tcPr>
          <w:p w14:paraId="5DD0E1BB" w14:textId="77777777" w:rsidR="00BA3F4F" w:rsidRPr="00C42E90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3170ADDC" w14:textId="77777777" w:rsidR="00BA3F4F" w:rsidRPr="008F2281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100-200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139(45.7%)                         161(52.9%)</w:t>
            </w:r>
          </w:p>
        </w:tc>
      </w:tr>
      <w:tr w:rsidR="00BA3F4F" w14:paraId="3F57C67A" w14:textId="77777777" w:rsidTr="008E1402">
        <w:trPr>
          <w:trHeight w:val="332"/>
        </w:trPr>
        <w:tc>
          <w:tcPr>
            <w:tcW w:w="3119" w:type="dxa"/>
            <w:vMerge/>
            <w:tcBorders>
              <w:left w:val="nil"/>
              <w:right w:val="nil"/>
            </w:tcBorders>
          </w:tcPr>
          <w:p w14:paraId="576E2168" w14:textId="77777777" w:rsidR="00BA3F4F" w:rsidRPr="00C42E90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370469B3" w14:textId="77777777" w:rsidR="00BA3F4F" w:rsidRPr="008F2281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&gt;200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66(21.7%)                           29(9.5%)</w:t>
            </w:r>
          </w:p>
        </w:tc>
      </w:tr>
      <w:tr w:rsidR="00BA3F4F" w14:paraId="1B84261E" w14:textId="77777777" w:rsidTr="008E1402">
        <w:trPr>
          <w:trHeight w:val="538"/>
        </w:trPr>
        <w:tc>
          <w:tcPr>
            <w:tcW w:w="3119" w:type="dxa"/>
            <w:vMerge/>
            <w:tcBorders>
              <w:left w:val="nil"/>
              <w:right w:val="nil"/>
            </w:tcBorders>
          </w:tcPr>
          <w:p w14:paraId="256616FB" w14:textId="77777777" w:rsidR="00BA3F4F" w:rsidRPr="00C42E90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588C5ACC" w14:textId="77777777" w:rsidR="00BA3F4F" w:rsidRPr="008F2281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don’t know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27(8.8%)                             35(11.5%)</w:t>
            </w:r>
          </w:p>
        </w:tc>
      </w:tr>
      <w:tr w:rsidR="00BA3F4F" w14:paraId="11EECF73" w14:textId="77777777" w:rsidTr="008E1402">
        <w:trPr>
          <w:trHeight w:val="699"/>
        </w:trPr>
        <w:tc>
          <w:tcPr>
            <w:tcW w:w="3119" w:type="dxa"/>
            <w:vMerge w:val="restart"/>
            <w:tcBorders>
              <w:left w:val="nil"/>
              <w:right w:val="nil"/>
            </w:tcBorders>
          </w:tcPr>
          <w:p w14:paraId="37B716DA" w14:textId="77777777" w:rsidR="00BA3F4F" w:rsidRPr="00C42E90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Presence of food not eaten because of price 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05F48DC1" w14:textId="77777777" w:rsidR="00BA3F4F" w:rsidRPr="008F2281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154(50.6%)                         106(34.8%)</w:t>
            </w:r>
          </w:p>
        </w:tc>
      </w:tr>
      <w:tr w:rsidR="00BA3F4F" w14:paraId="4F2435D0" w14:textId="77777777" w:rsidTr="008E1402">
        <w:trPr>
          <w:trHeight w:val="669"/>
        </w:trPr>
        <w:tc>
          <w:tcPr>
            <w:tcW w:w="3119" w:type="dxa"/>
            <w:vMerge/>
            <w:tcBorders>
              <w:left w:val="nil"/>
              <w:right w:val="nil"/>
            </w:tcBorders>
          </w:tcPr>
          <w:p w14:paraId="11993A4F" w14:textId="77777777" w:rsidR="00BA3F4F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3E5E9FC6" w14:textId="77777777" w:rsidR="00BA3F4F" w:rsidRPr="008F2281" w:rsidRDefault="00BA3F4F" w:rsidP="008E1402">
            <w:pPr>
              <w:shd w:val="clear" w:color="auto" w:fill="FFFFFF"/>
              <w:spacing w:after="120" w:line="480" w:lineRule="auto"/>
              <w:ind w:left="75" w:right="43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150(49.4%)                         198(65.3%)</w:t>
            </w:r>
          </w:p>
        </w:tc>
      </w:tr>
    </w:tbl>
    <w:p w14:paraId="3B313FF5" w14:textId="77777777" w:rsidR="00BA3F4F" w:rsidRDefault="00BA3F4F" w:rsidP="00BA3F4F">
      <w:pPr>
        <w:autoSpaceDE w:val="0"/>
        <w:autoSpaceDN w:val="0"/>
        <w:adjustRightInd w:val="0"/>
        <w:spacing w:line="480" w:lineRule="auto"/>
        <w:ind w:right="4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61D88" w14:textId="77777777" w:rsidR="00BA3F4F" w:rsidRPr="00C44259" w:rsidRDefault="00BA3F4F" w:rsidP="00BA3F4F">
      <w:pPr>
        <w:autoSpaceDE w:val="0"/>
        <w:autoSpaceDN w:val="0"/>
        <w:adjustRightInd w:val="0"/>
        <w:spacing w:line="480" w:lineRule="auto"/>
        <w:ind w:right="432"/>
        <w:jc w:val="both"/>
        <w:rPr>
          <w:b/>
          <w:bCs/>
        </w:rPr>
      </w:pPr>
      <w:r w:rsidRPr="00C44259">
        <w:rPr>
          <w:b/>
          <w:bCs/>
        </w:rPr>
        <w:t xml:space="preserve">Table 2: comparison of consumption of food groups between PSNP beneficiary households and non PSNP households among WRA in chiro district in 2024(N=608)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91"/>
        <w:gridCol w:w="141"/>
        <w:gridCol w:w="2779"/>
      </w:tblGrid>
      <w:tr w:rsidR="00BA3F4F" w:rsidRPr="00D273CE" w14:paraId="57FA1C33" w14:textId="77777777" w:rsidTr="008E1402">
        <w:trPr>
          <w:trHeight w:val="630"/>
        </w:trPr>
        <w:tc>
          <w:tcPr>
            <w:tcW w:w="3005" w:type="dxa"/>
            <w:tcBorders>
              <w:top w:val="single" w:sz="8" w:space="0" w:color="auto"/>
              <w:bottom w:val="single" w:sz="4" w:space="0" w:color="auto"/>
            </w:tcBorders>
          </w:tcPr>
          <w:p w14:paraId="7127C67E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Food items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  <w:tcBorders>
              <w:top w:val="single" w:sz="8" w:space="0" w:color="auto"/>
              <w:bottom w:val="single" w:sz="4" w:space="0" w:color="auto"/>
            </w:tcBorders>
          </w:tcPr>
          <w:p w14:paraId="1DF6B2AE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1C318E10" w14:textId="77777777" w:rsidR="00BA3F4F" w:rsidRDefault="00BA3F4F" w:rsidP="008E140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23AEEA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3F4F" w:rsidRPr="00D273CE" w14:paraId="5B6C45FB" w14:textId="77777777" w:rsidTr="008E1402">
        <w:trPr>
          <w:trHeight w:val="470"/>
        </w:trPr>
        <w:tc>
          <w:tcPr>
            <w:tcW w:w="3005" w:type="dxa"/>
            <w:tcBorders>
              <w:top w:val="single" w:sz="4" w:space="0" w:color="auto"/>
              <w:bottom w:val="single" w:sz="8" w:space="0" w:color="auto"/>
            </w:tcBorders>
          </w:tcPr>
          <w:p w14:paraId="3118BE86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1D51E709" w14:textId="77777777" w:rsidR="00BA3F4F" w:rsidRPr="00A70364" w:rsidRDefault="00BA3F4F" w:rsidP="008E140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03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PSNP beneficiary households (%)            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8" w:space="0" w:color="auto"/>
            </w:tcBorders>
          </w:tcPr>
          <w:p w14:paraId="6A18FB44" w14:textId="77777777" w:rsidR="00BA3F4F" w:rsidRPr="00A70364" w:rsidRDefault="00BA3F4F" w:rsidP="008E140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03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 PSNP households (%)</w:t>
            </w:r>
          </w:p>
        </w:tc>
      </w:tr>
      <w:tr w:rsidR="00BA3F4F" w:rsidRPr="00D273CE" w14:paraId="1A01DD6F" w14:textId="77777777" w:rsidTr="008E1402">
        <w:tc>
          <w:tcPr>
            <w:tcW w:w="3005" w:type="dxa"/>
            <w:tcBorders>
              <w:top w:val="single" w:sz="8" w:space="0" w:color="auto"/>
              <w:bottom w:val="single" w:sz="4" w:space="0" w:color="auto"/>
            </w:tcBorders>
          </w:tcPr>
          <w:p w14:paraId="63C585B3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Grains</w:t>
            </w:r>
          </w:p>
        </w:tc>
        <w:tc>
          <w:tcPr>
            <w:tcW w:w="3091" w:type="dxa"/>
            <w:tcBorders>
              <w:top w:val="single" w:sz="8" w:space="0" w:color="auto"/>
              <w:bottom w:val="single" w:sz="4" w:space="0" w:color="auto"/>
            </w:tcBorders>
          </w:tcPr>
          <w:p w14:paraId="2BA703DD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158(52%)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14BF4F9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182(59.9%)</w:t>
            </w:r>
          </w:p>
        </w:tc>
      </w:tr>
      <w:tr w:rsidR="00BA3F4F" w:rsidRPr="00D273CE" w14:paraId="60383F48" w14:textId="77777777" w:rsidTr="008E1402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5498B128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CE">
              <w:rPr>
                <w:rFonts w:ascii="Times New Roman" w:hAnsi="Times New Roman" w:cs="Times New Roman"/>
                <w:sz w:val="24"/>
                <w:szCs w:val="24"/>
              </w:rPr>
              <w:t>Pulses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00D13077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234(77%)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CEC0A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249(81.9)</w:t>
            </w:r>
          </w:p>
        </w:tc>
      </w:tr>
      <w:tr w:rsidR="00BA3F4F" w:rsidRPr="00D273CE" w14:paraId="742B84CF" w14:textId="77777777" w:rsidTr="008E1402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68E09814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CE">
              <w:rPr>
                <w:rFonts w:ascii="Times New Roman" w:hAnsi="Times New Roman" w:cs="Times New Roman"/>
                <w:sz w:val="24"/>
                <w:szCs w:val="24"/>
              </w:rPr>
              <w:t>Nuts and seeds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0B3718D3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158(52%)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01D29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182(59.9%)</w:t>
            </w:r>
          </w:p>
        </w:tc>
      </w:tr>
      <w:tr w:rsidR="00BA3F4F" w:rsidRPr="00D273CE" w14:paraId="5CC05DAE" w14:textId="77777777" w:rsidTr="008E1402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4492EE03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CE">
              <w:rPr>
                <w:rFonts w:ascii="Times New Roman" w:hAnsi="Times New Roman" w:cs="Times New Roman"/>
                <w:sz w:val="24"/>
                <w:szCs w:val="24"/>
              </w:rPr>
              <w:t>Diary/milk products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53C1C9D2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97(</w:t>
            </w:r>
            <w:r w:rsidRPr="00D27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1.9%)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86A3C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109(35.9%)</w:t>
            </w:r>
          </w:p>
        </w:tc>
      </w:tr>
      <w:tr w:rsidR="00BA3F4F" w:rsidRPr="00D273CE" w14:paraId="713B7FD8" w14:textId="77777777" w:rsidTr="008E1402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5AD6CCE7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CE">
              <w:rPr>
                <w:rFonts w:ascii="Times New Roman" w:hAnsi="Times New Roman" w:cs="Times New Roman"/>
                <w:sz w:val="24"/>
                <w:szCs w:val="24"/>
              </w:rPr>
              <w:t>Meat, poultry and fish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7D7F9AF2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61(20.1%)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83EBC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59(19.4%)</w:t>
            </w:r>
          </w:p>
        </w:tc>
      </w:tr>
      <w:tr w:rsidR="00BA3F4F" w:rsidRPr="00D273CE" w14:paraId="02B6A78B" w14:textId="77777777" w:rsidTr="008E1402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12A48199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CE">
              <w:rPr>
                <w:rFonts w:ascii="Times New Roman" w:hAnsi="Times New Roman" w:cs="Times New Roman"/>
                <w:sz w:val="24"/>
                <w:szCs w:val="24"/>
              </w:rPr>
              <w:t>Eggs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4C0C956F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113(37.2%) 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DAEC6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142(77%)</w:t>
            </w:r>
          </w:p>
        </w:tc>
      </w:tr>
      <w:tr w:rsidR="00BA3F4F" w:rsidRPr="00D273CE" w14:paraId="35FF3034" w14:textId="77777777" w:rsidTr="008E1402">
        <w:trPr>
          <w:trHeight w:val="78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34462928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CE">
              <w:rPr>
                <w:rFonts w:ascii="Times New Roman" w:hAnsi="Times New Roman" w:cs="Times New Roman"/>
                <w:sz w:val="24"/>
                <w:szCs w:val="24"/>
              </w:rPr>
              <w:t>DGLVs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02A5BD14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76(25.3%)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34EB5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93(30.6%)</w:t>
            </w:r>
          </w:p>
        </w:tc>
      </w:tr>
      <w:tr w:rsidR="00BA3F4F" w:rsidRPr="00D273CE" w14:paraId="090E206F" w14:textId="77777777" w:rsidTr="008E1402">
        <w:trPr>
          <w:trHeight w:val="90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19E8F915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CE">
              <w:rPr>
                <w:rFonts w:ascii="Times New Roman" w:hAnsi="Times New Roman" w:cs="Times New Roman"/>
                <w:sz w:val="24"/>
                <w:szCs w:val="24"/>
              </w:rPr>
              <w:t>Other vitamin A rich fruit and vegetables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19A86B54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46(15.1%)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A410A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77(25.3%)</w:t>
            </w:r>
          </w:p>
        </w:tc>
      </w:tr>
      <w:tr w:rsidR="00BA3F4F" w:rsidRPr="00D273CE" w14:paraId="09AE6511" w14:textId="77777777" w:rsidTr="008E1402">
        <w:trPr>
          <w:trHeight w:val="166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7DFF0947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CE">
              <w:rPr>
                <w:rFonts w:ascii="Times New Roman" w:hAnsi="Times New Roman" w:cs="Times New Roman"/>
                <w:sz w:val="24"/>
                <w:szCs w:val="24"/>
              </w:rPr>
              <w:t>Other vegetables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3C13E985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131(43.1%)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26F8D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140(46.1%)</w:t>
            </w:r>
          </w:p>
        </w:tc>
      </w:tr>
      <w:tr w:rsidR="00BA3F4F" w:rsidRPr="00D273CE" w14:paraId="65ECD70B" w14:textId="77777777" w:rsidTr="008E1402">
        <w:trPr>
          <w:trHeight w:val="244"/>
        </w:trPr>
        <w:tc>
          <w:tcPr>
            <w:tcW w:w="3005" w:type="dxa"/>
            <w:tcBorders>
              <w:top w:val="single" w:sz="4" w:space="0" w:color="auto"/>
              <w:bottom w:val="single" w:sz="8" w:space="0" w:color="auto"/>
            </w:tcBorders>
          </w:tcPr>
          <w:p w14:paraId="026805C9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CE">
              <w:rPr>
                <w:rFonts w:ascii="Times New Roman" w:hAnsi="Times New Roman" w:cs="Times New Roman"/>
                <w:sz w:val="24"/>
                <w:szCs w:val="24"/>
              </w:rPr>
              <w:t>Other fruits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8" w:space="0" w:color="auto"/>
            </w:tcBorders>
          </w:tcPr>
          <w:p w14:paraId="6BB2A3DE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61(20.1%)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3F45702A" w14:textId="77777777" w:rsidR="00BA3F4F" w:rsidRPr="00D273CE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74(24.3%)</w:t>
            </w:r>
          </w:p>
        </w:tc>
      </w:tr>
    </w:tbl>
    <w:p w14:paraId="4A02AE64" w14:textId="77777777" w:rsidR="00BA3F4F" w:rsidRPr="007C731E" w:rsidRDefault="00BA3F4F" w:rsidP="00BA3F4F">
      <w:pPr>
        <w:autoSpaceDE w:val="0"/>
        <w:autoSpaceDN w:val="0"/>
        <w:adjustRightInd w:val="0"/>
        <w:spacing w:line="480" w:lineRule="auto"/>
        <w:ind w:right="43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731E">
        <w:rPr>
          <w:rFonts w:ascii="Times New Roman" w:hAnsi="Times New Roman" w:cs="Times New Roman"/>
          <w:sz w:val="24"/>
          <w:szCs w:val="24"/>
          <w:lang w:val="en-US"/>
        </w:rPr>
        <w:t>Factors associated with inadequate consumption of vitamin A-rich foods</w:t>
      </w:r>
    </w:p>
    <w:p w14:paraId="546136B3" w14:textId="77777777" w:rsidR="00BA3F4F" w:rsidRDefault="00BA3F4F" w:rsidP="00BA3F4F">
      <w:pPr>
        <w:autoSpaceDE w:val="0"/>
        <w:autoSpaceDN w:val="0"/>
        <w:adjustRightInd w:val="0"/>
        <w:spacing w:line="48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3: </w:t>
      </w:r>
      <w:r w:rsidRPr="00D273CE">
        <w:rPr>
          <w:rFonts w:ascii="Times New Roman" w:hAnsi="Times New Roman" w:cs="Times New Roman"/>
          <w:sz w:val="24"/>
          <w:szCs w:val="24"/>
        </w:rPr>
        <w:t>Bivariable and multivariable logistic regression of factors associated wit</w:t>
      </w:r>
      <w:r>
        <w:rPr>
          <w:rFonts w:ascii="Times New Roman" w:hAnsi="Times New Roman" w:cs="Times New Roman"/>
          <w:sz w:val="24"/>
          <w:szCs w:val="24"/>
        </w:rPr>
        <w:t>h dietary diversity among WRA in eastern Ethiopia(n=608)</w:t>
      </w:r>
    </w:p>
    <w:p w14:paraId="307C64CB" w14:textId="77777777" w:rsidR="00BA3F4F" w:rsidRPr="007E39FE" w:rsidRDefault="00BA3F4F" w:rsidP="00BA3F4F">
      <w:pPr>
        <w:autoSpaceDE w:val="0"/>
        <w:autoSpaceDN w:val="0"/>
        <w:adjustRightInd w:val="0"/>
        <w:spacing w:line="480" w:lineRule="auto"/>
        <w:ind w:right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119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3827"/>
        <w:gridCol w:w="3827"/>
      </w:tblGrid>
      <w:tr w:rsidR="00BA3F4F" w14:paraId="75368817" w14:textId="77777777" w:rsidTr="008E1402">
        <w:trPr>
          <w:trHeight w:val="412"/>
        </w:trPr>
        <w:tc>
          <w:tcPr>
            <w:tcW w:w="3545" w:type="dxa"/>
            <w:gridSpan w:val="2"/>
            <w:vMerge w:val="restart"/>
            <w:tcBorders>
              <w:left w:val="nil"/>
              <w:right w:val="nil"/>
            </w:tcBorders>
          </w:tcPr>
          <w:p w14:paraId="2F338B93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Variables           Category </w:t>
            </w:r>
          </w:p>
        </w:tc>
        <w:tc>
          <w:tcPr>
            <w:tcW w:w="7654" w:type="dxa"/>
            <w:gridSpan w:val="2"/>
            <w:tcBorders>
              <w:left w:val="nil"/>
              <w:right w:val="nil"/>
            </w:tcBorders>
          </w:tcPr>
          <w:p w14:paraId="677E5959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WRA Dietary diversity                      COR                      AOR            P-Value</w:t>
            </w:r>
          </w:p>
        </w:tc>
      </w:tr>
      <w:tr w:rsidR="00BA3F4F" w14:paraId="0DB2F4E8" w14:textId="77777777" w:rsidTr="008E1402">
        <w:trPr>
          <w:trHeight w:val="139"/>
        </w:trPr>
        <w:tc>
          <w:tcPr>
            <w:tcW w:w="3545" w:type="dxa"/>
            <w:gridSpan w:val="2"/>
            <w:vMerge/>
            <w:tcBorders>
              <w:left w:val="nil"/>
              <w:right w:val="nil"/>
            </w:tcBorders>
          </w:tcPr>
          <w:p w14:paraId="480FD59D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2282BA3C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Adequate      Inadequate 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C2F4D3E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4F" w14:paraId="244B48ED" w14:textId="77777777" w:rsidTr="008E1402">
        <w:trPr>
          <w:trHeight w:val="465"/>
        </w:trPr>
        <w:tc>
          <w:tcPr>
            <w:tcW w:w="1702" w:type="dxa"/>
            <w:vMerge w:val="restart"/>
            <w:tcBorders>
              <w:left w:val="nil"/>
              <w:right w:val="nil"/>
            </w:tcBorders>
          </w:tcPr>
          <w:p w14:paraId="256A104B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Age </w:t>
            </w: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70FFE6EF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&lt;20                  55(26.2%)             102(25.6%)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1.1(0.6-1.8)</w:t>
            </w:r>
          </w:p>
        </w:tc>
      </w:tr>
      <w:tr w:rsidR="00BA3F4F" w14:paraId="47B82312" w14:textId="77777777" w:rsidTr="008E1402">
        <w:trPr>
          <w:trHeight w:val="470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7739675D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703F4E9F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21-30               103(49.0%)           210(52.8%)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1.2(0.8-1.8)</w:t>
            </w:r>
          </w:p>
        </w:tc>
      </w:tr>
      <w:tr w:rsidR="00BA3F4F" w14:paraId="06FD9CD0" w14:textId="77777777" w:rsidTr="008E1402">
        <w:trPr>
          <w:trHeight w:val="443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7E26465F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1D66ACBD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&gt;30                   52(24.8%)            86(21.6%)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A3F4F" w14:paraId="03C4A679" w14:textId="77777777" w:rsidTr="008E1402">
        <w:trPr>
          <w:trHeight w:val="222"/>
        </w:trPr>
        <w:tc>
          <w:tcPr>
            <w:tcW w:w="1702" w:type="dxa"/>
            <w:vMerge w:val="restart"/>
            <w:tcBorders>
              <w:left w:val="nil"/>
              <w:right w:val="nil"/>
            </w:tcBorders>
          </w:tcPr>
          <w:p w14:paraId="4A759C59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PSNP Membership</w:t>
            </w: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1CFBD26F" w14:textId="77777777" w:rsidR="00BA3F4F" w:rsidRPr="00412E5B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sz w:val="24"/>
                <w:szCs w:val="24"/>
              </w:rPr>
              <w:t xml:space="preserve">Yes                   94(44.8%)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E5B">
              <w:rPr>
                <w:rFonts w:ascii="Times New Roman" w:hAnsi="Times New Roman" w:cs="Times New Roman"/>
                <w:sz w:val="24"/>
                <w:szCs w:val="24"/>
              </w:rPr>
              <w:t xml:space="preserve">210(52.8%)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12E5B">
              <w:rPr>
                <w:rFonts w:ascii="Times New Roman" w:hAnsi="Times New Roman" w:cs="Times New Roman"/>
                <w:sz w:val="24"/>
                <w:szCs w:val="24"/>
              </w:rPr>
              <w:t xml:space="preserve"> 0.7(0.5-1)*            0.7(0.5-1.08)       0.12</w:t>
            </w:r>
          </w:p>
        </w:tc>
      </w:tr>
      <w:tr w:rsidR="00BA3F4F" w14:paraId="7D5B64A6" w14:textId="77777777" w:rsidTr="008E1402">
        <w:trPr>
          <w:trHeight w:val="416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2A3321A3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069E2E1B" w14:textId="77777777" w:rsidR="00BA3F4F" w:rsidRPr="00412E5B" w:rsidRDefault="00BA3F4F" w:rsidP="008E1402">
            <w:pPr>
              <w:spacing w:line="480" w:lineRule="auto"/>
              <w:rPr>
                <w:sz w:val="24"/>
                <w:szCs w:val="24"/>
              </w:rPr>
            </w:pPr>
            <w:r w:rsidRPr="00412E5B">
              <w:rPr>
                <w:sz w:val="24"/>
                <w:szCs w:val="24"/>
              </w:rPr>
              <w:t xml:space="preserve">No                            </w:t>
            </w:r>
            <w:r w:rsidRPr="00412E5B">
              <w:rPr>
                <w:rFonts w:ascii="Times New Roman" w:hAnsi="Times New Roman" w:cs="Times New Roman"/>
                <w:sz w:val="24"/>
                <w:szCs w:val="24"/>
              </w:rPr>
              <w:t xml:space="preserve">116(55.2%)       188(47.2%)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E5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BA3F4F" w14:paraId="2A54AA61" w14:textId="77777777" w:rsidTr="008E1402">
        <w:trPr>
          <w:trHeight w:val="490"/>
        </w:trPr>
        <w:tc>
          <w:tcPr>
            <w:tcW w:w="1702" w:type="dxa"/>
            <w:vMerge w:val="restart"/>
            <w:tcBorders>
              <w:left w:val="nil"/>
              <w:right w:val="nil"/>
            </w:tcBorders>
          </w:tcPr>
          <w:p w14:paraId="36311FE7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Educational status </w:t>
            </w: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15A1B477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No formal         87(41.4%)            193(48.5%)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1.4(0.5-2.4)</w:t>
            </w:r>
          </w:p>
          <w:p w14:paraId="77950102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education </w:t>
            </w:r>
          </w:p>
        </w:tc>
      </w:tr>
      <w:tr w:rsidR="00BA3F4F" w14:paraId="6FA3286B" w14:textId="77777777" w:rsidTr="008E1402">
        <w:trPr>
          <w:trHeight w:val="500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0D19206F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17FE09F5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Primary             96(45.7%)            163(41%)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1.04(0.6-1.8)</w:t>
            </w:r>
          </w:p>
          <w:p w14:paraId="07D0C85C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education   </w:t>
            </w:r>
          </w:p>
        </w:tc>
      </w:tr>
      <w:tr w:rsidR="00BA3F4F" w14:paraId="4EE49EBD" w14:textId="77777777" w:rsidTr="008E1402">
        <w:trPr>
          <w:trHeight w:val="998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61527726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33B1C466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Secondary         27(12.9%)            42(10.6%)  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5C83D7E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education </w:t>
            </w:r>
          </w:p>
          <w:p w14:paraId="2DEBECB5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and above </w:t>
            </w:r>
          </w:p>
        </w:tc>
      </w:tr>
      <w:tr w:rsidR="00BA3F4F" w:rsidRPr="005555C6" w14:paraId="6CDFF9B9" w14:textId="77777777" w:rsidTr="008E1402">
        <w:trPr>
          <w:trHeight w:val="340"/>
        </w:trPr>
        <w:tc>
          <w:tcPr>
            <w:tcW w:w="1702" w:type="dxa"/>
            <w:vMerge w:val="restart"/>
            <w:tcBorders>
              <w:left w:val="nil"/>
              <w:right w:val="nil"/>
            </w:tcBorders>
          </w:tcPr>
          <w:p w14:paraId="33AAA156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Marital status</w:t>
            </w: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33FC3091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Married             146(69.5%)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294(73.9%)          1.3(0.8-2.2) *     1.2(0.7-2.1)</w:t>
            </w:r>
          </w:p>
        </w:tc>
      </w:tr>
      <w:tr w:rsidR="00BA3F4F" w:rsidRPr="005555C6" w14:paraId="07F914BA" w14:textId="77777777" w:rsidTr="008E1402">
        <w:trPr>
          <w:trHeight w:val="350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677C203F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1FEDFC69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Divorced           12(5.7%) 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27(6.8%)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1.5(0.6-3.4)        1.7(0.7-4.0)</w:t>
            </w:r>
          </w:p>
        </w:tc>
      </w:tr>
      <w:tr w:rsidR="00BA3F4F" w:rsidRPr="005555C6" w14:paraId="2B8851A2" w14:textId="77777777" w:rsidTr="008E1402">
        <w:trPr>
          <w:trHeight w:val="203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799CC91B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0EDC1117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Widowed           20(9.5%)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30(7.5%) 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1.02(0.4-2.6)     1.2(0.6-2.8)</w:t>
            </w:r>
          </w:p>
        </w:tc>
      </w:tr>
      <w:tr w:rsidR="00BA3F4F" w:rsidRPr="005555C6" w14:paraId="3D573E84" w14:textId="77777777" w:rsidTr="008E1402">
        <w:trPr>
          <w:trHeight w:val="266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27B0891F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3A8938DD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Single                32(15.2%)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47(11.8%)                  1                            1</w:t>
            </w:r>
          </w:p>
        </w:tc>
      </w:tr>
      <w:tr w:rsidR="00BA3F4F" w:rsidRPr="005555C6" w14:paraId="42CD2C93" w14:textId="77777777" w:rsidTr="008E1402">
        <w:trPr>
          <w:trHeight w:val="407"/>
        </w:trPr>
        <w:tc>
          <w:tcPr>
            <w:tcW w:w="1702" w:type="dxa"/>
            <w:vMerge w:val="restart"/>
            <w:tcBorders>
              <w:left w:val="nil"/>
              <w:right w:val="nil"/>
            </w:tcBorders>
          </w:tcPr>
          <w:p w14:paraId="57062BB0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Family size </w:t>
            </w: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22C6E1B2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≤3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138(65.7%)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220(55.3%)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1                            1</w:t>
            </w:r>
          </w:p>
        </w:tc>
      </w:tr>
      <w:tr w:rsidR="00BA3F4F" w:rsidRPr="005555C6" w14:paraId="3F077713" w14:textId="77777777" w:rsidTr="008E1402">
        <w:trPr>
          <w:trHeight w:val="288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5433E51C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65E9379D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4-6</w:t>
            </w:r>
            <w:r w:rsidRPr="00412E5B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   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69(32.9%)</w:t>
            </w:r>
            <w:r w:rsidRPr="00412E5B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166(41.7%)</w:t>
            </w:r>
            <w:r w:rsidRPr="00412E5B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1.5(0.6-2.1) * 1.5(1.06-2.2)**       0.001</w:t>
            </w:r>
          </w:p>
        </w:tc>
      </w:tr>
      <w:tr w:rsidR="00BA3F4F" w:rsidRPr="005555C6" w14:paraId="37EEC095" w14:textId="77777777" w:rsidTr="008E1402">
        <w:trPr>
          <w:trHeight w:val="297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1C6FE31B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0B683610" w14:textId="77777777" w:rsidR="00BA3F4F" w:rsidRPr="00412E5B" w:rsidRDefault="00BA3F4F" w:rsidP="008E140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≥6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2E5B">
              <w:rPr>
                <w:rFonts w:ascii="Times New Roman" w:hAnsi="Times New Roman" w:cs="Times New Roman"/>
                <w:sz w:val="24"/>
                <w:szCs w:val="24"/>
              </w:rPr>
              <w:t xml:space="preserve">3(1.4%)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sz w:val="24"/>
                <w:szCs w:val="24"/>
              </w:rPr>
              <w:t xml:space="preserve">12(3%)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sz w:val="24"/>
                <w:szCs w:val="24"/>
              </w:rPr>
              <w:t>2.5(0.6-9) *      2.04(0.5-7.7)         0.19</w:t>
            </w:r>
          </w:p>
        </w:tc>
      </w:tr>
      <w:tr w:rsidR="00BA3F4F" w:rsidRPr="005555C6" w14:paraId="0FFD7931" w14:textId="77777777" w:rsidTr="008E1402">
        <w:trPr>
          <w:trHeight w:val="152"/>
        </w:trPr>
        <w:tc>
          <w:tcPr>
            <w:tcW w:w="1702" w:type="dxa"/>
            <w:vMerge w:val="restart"/>
            <w:tcBorders>
              <w:left w:val="nil"/>
              <w:right w:val="nil"/>
            </w:tcBorders>
          </w:tcPr>
          <w:p w14:paraId="5D5ED384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Occupation </w:t>
            </w: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19E5626C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Farmer        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 </w:t>
            </w: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143(68.1%)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270(67.8%)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0.7(0.4-1.28)</w:t>
            </w:r>
          </w:p>
        </w:tc>
      </w:tr>
      <w:tr w:rsidR="00BA3F4F" w:rsidRPr="005555C6" w14:paraId="668E219F" w14:textId="77777777" w:rsidTr="008E1402">
        <w:trPr>
          <w:trHeight w:val="205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0A1F09DF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63CA64E9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Merchant     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40(19%)</w:t>
            </w: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63(15.8%)</w:t>
            </w: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0.6(0.3-1.19)</w:t>
            </w:r>
          </w:p>
        </w:tc>
      </w:tr>
      <w:tr w:rsidR="00BA3F4F" w:rsidRPr="005555C6" w14:paraId="6AA6CED5" w14:textId="77777777" w:rsidTr="008E1402">
        <w:trPr>
          <w:trHeight w:val="143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75ACCEF0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018BC8E6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Others          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27(12.9%)</w:t>
            </w: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65(16.3%                  1</w:t>
            </w:r>
          </w:p>
        </w:tc>
      </w:tr>
      <w:tr w:rsidR="00BA3F4F" w:rsidRPr="005555C6" w14:paraId="58EBDB9D" w14:textId="77777777" w:rsidTr="008E1402">
        <w:trPr>
          <w:trHeight w:val="493"/>
        </w:trPr>
        <w:tc>
          <w:tcPr>
            <w:tcW w:w="1702" w:type="dxa"/>
            <w:vMerge w:val="restart"/>
            <w:tcBorders>
              <w:left w:val="nil"/>
              <w:right w:val="nil"/>
            </w:tcBorders>
          </w:tcPr>
          <w:p w14:paraId="1C59B2D3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Having agricultural land </w:t>
            </w: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382E07BE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Yes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180(85.7%)         346(86.9%)          0.9(0.5-1.4)  </w:t>
            </w:r>
          </w:p>
        </w:tc>
      </w:tr>
      <w:tr w:rsidR="00BA3F4F" w:rsidRPr="005555C6" w14:paraId="2E52D2E9" w14:textId="77777777" w:rsidTr="008E1402">
        <w:trPr>
          <w:trHeight w:val="107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6B54FCD6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36747FAD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No  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Pr="00412E5B">
              <w:rPr>
                <w:sz w:val="24"/>
                <w:szCs w:val="24"/>
              </w:rPr>
              <w:t>30(14.3%)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52(13.1%)                   1</w:t>
            </w:r>
          </w:p>
        </w:tc>
      </w:tr>
      <w:tr w:rsidR="00BA3F4F" w:rsidRPr="005555C6" w14:paraId="75CE0E65" w14:textId="77777777" w:rsidTr="008E1402">
        <w:trPr>
          <w:trHeight w:val="450"/>
        </w:trPr>
        <w:tc>
          <w:tcPr>
            <w:tcW w:w="1702" w:type="dxa"/>
            <w:vMerge w:val="restart"/>
            <w:tcBorders>
              <w:left w:val="nil"/>
              <w:right w:val="nil"/>
            </w:tcBorders>
          </w:tcPr>
          <w:p w14:paraId="3A71FDED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Money spent on food </w:t>
            </w: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4227394D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&lt;100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49(23.3.%)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102(25.6%)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1.8(1-3.3) *        1.8(0.9-3)            0.053</w:t>
            </w:r>
          </w:p>
        </w:tc>
      </w:tr>
      <w:tr w:rsidR="00BA3F4F" w:rsidRPr="005555C6" w14:paraId="0F998B6D" w14:textId="77777777" w:rsidTr="008E1402">
        <w:trPr>
          <w:trHeight w:val="540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7D0B2735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2FEC1976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100-200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99(47.1%)          201(50.6%)          1.7(1.02-3.1) *   1.7(0.9-3)           0.053</w:t>
            </w:r>
          </w:p>
        </w:tc>
      </w:tr>
      <w:tr w:rsidR="00BA3F4F" w:rsidRPr="005555C6" w14:paraId="7AD546A8" w14:textId="77777777" w:rsidTr="008E1402">
        <w:trPr>
          <w:trHeight w:val="233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108699FC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16CE13AB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&gt;200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33(15.7%)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62(15.6%)           1.6(0.8-3.1)         1.6(0.8-3.2)         0.105</w:t>
            </w:r>
          </w:p>
        </w:tc>
      </w:tr>
      <w:tr w:rsidR="00BA3F4F" w:rsidRPr="005555C6" w14:paraId="5D3B391A" w14:textId="77777777" w:rsidTr="008E1402">
        <w:trPr>
          <w:trHeight w:val="620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63049C6E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42F21C79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don’t know      29(13.8%)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33(8.3%)   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1                                       1</w:t>
            </w:r>
          </w:p>
        </w:tc>
      </w:tr>
      <w:tr w:rsidR="00BA3F4F" w:rsidRPr="005555C6" w14:paraId="366CC16D" w14:textId="77777777" w:rsidTr="008E1402">
        <w:trPr>
          <w:trHeight w:val="416"/>
        </w:trPr>
        <w:tc>
          <w:tcPr>
            <w:tcW w:w="1702" w:type="dxa"/>
            <w:vMerge w:val="restart"/>
            <w:tcBorders>
              <w:left w:val="nil"/>
              <w:right w:val="nil"/>
            </w:tcBorders>
          </w:tcPr>
          <w:p w14:paraId="440A90E8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Household food security </w:t>
            </w: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6465F4C9" w14:textId="77777777" w:rsidR="00BA3F4F" w:rsidRPr="00412E5B" w:rsidRDefault="00BA3F4F" w:rsidP="008E140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sz w:val="24"/>
                <w:szCs w:val="24"/>
              </w:rPr>
              <w:t xml:space="preserve">Secure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sz w:val="24"/>
                <w:szCs w:val="24"/>
              </w:rPr>
              <w:t xml:space="preserve">75(35.7%)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12E5B">
              <w:rPr>
                <w:rFonts w:ascii="Times New Roman" w:hAnsi="Times New Roman" w:cs="Times New Roman"/>
                <w:sz w:val="24"/>
                <w:szCs w:val="24"/>
              </w:rPr>
              <w:t xml:space="preserve">155(39.9%)               1 </w:t>
            </w:r>
          </w:p>
        </w:tc>
      </w:tr>
      <w:tr w:rsidR="00BA3F4F" w:rsidRPr="005555C6" w14:paraId="23A50ED9" w14:textId="77777777" w:rsidTr="008E1402">
        <w:trPr>
          <w:trHeight w:val="453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0545367D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4B47FC40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Insecure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135(64.3%)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243(61.1%)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1.1(0.8-1.6)</w:t>
            </w:r>
          </w:p>
        </w:tc>
      </w:tr>
      <w:tr w:rsidR="00BA3F4F" w:rsidRPr="005555C6" w14:paraId="29BB651B" w14:textId="77777777" w:rsidTr="008E1402">
        <w:trPr>
          <w:trHeight w:val="524"/>
        </w:trPr>
        <w:tc>
          <w:tcPr>
            <w:tcW w:w="1702" w:type="dxa"/>
            <w:vMerge w:val="restart"/>
            <w:tcBorders>
              <w:left w:val="nil"/>
              <w:right w:val="nil"/>
            </w:tcBorders>
          </w:tcPr>
          <w:p w14:paraId="0E376E61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Nutritional Status </w:t>
            </w: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7F924704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Undernourished 198(94.3%)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378(95%)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0.8(0.4-1.8)</w:t>
            </w:r>
          </w:p>
        </w:tc>
      </w:tr>
      <w:tr w:rsidR="00BA3F4F" w:rsidRPr="005555C6" w14:paraId="6BE27045" w14:textId="77777777" w:rsidTr="008E1402">
        <w:trPr>
          <w:trHeight w:val="54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15229201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6A47F7FE" w14:textId="77777777" w:rsidR="00BA3F4F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Non-</w:t>
            </w:r>
          </w:p>
          <w:p w14:paraId="6601BDFD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Undernourished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12(5.7%)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20(5%)                    1</w:t>
            </w:r>
          </w:p>
        </w:tc>
      </w:tr>
      <w:tr w:rsidR="00BA3F4F" w:rsidRPr="005555C6" w14:paraId="13D4F4C1" w14:textId="77777777" w:rsidTr="008E1402">
        <w:trPr>
          <w:trHeight w:val="550"/>
        </w:trPr>
        <w:tc>
          <w:tcPr>
            <w:tcW w:w="1702" w:type="dxa"/>
            <w:vMerge w:val="restart"/>
            <w:tcBorders>
              <w:left w:val="nil"/>
              <w:right w:val="nil"/>
            </w:tcBorders>
          </w:tcPr>
          <w:p w14:paraId="68F9ED57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Household monthly income(ETB)</w:t>
            </w: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5713208F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≤3000            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</w:t>
            </w: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148(70.5%)</w:t>
            </w: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262(65.8%)</w:t>
            </w: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1.18(0.6-2.2)</w:t>
            </w:r>
          </w:p>
        </w:tc>
      </w:tr>
      <w:tr w:rsidR="00BA3F4F" w:rsidRPr="005555C6" w14:paraId="4C7BC5C6" w14:textId="77777777" w:rsidTr="008E1402">
        <w:trPr>
          <w:trHeight w:val="590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6BBE4BAE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7E6A3B8F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3001-5000       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46(21.9%)</w:t>
            </w: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112(28.1%)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1.6(0.7-3.3)</w:t>
            </w:r>
          </w:p>
        </w:tc>
      </w:tr>
      <w:tr w:rsidR="00BA3F4F" w:rsidRPr="005555C6" w14:paraId="1DC8AFFE" w14:textId="77777777" w:rsidTr="008E1402">
        <w:trPr>
          <w:trHeight w:val="580"/>
        </w:trPr>
        <w:tc>
          <w:tcPr>
            <w:tcW w:w="1702" w:type="dxa"/>
            <w:vMerge/>
            <w:tcBorders>
              <w:left w:val="nil"/>
              <w:right w:val="nil"/>
            </w:tcBorders>
          </w:tcPr>
          <w:p w14:paraId="435F1B44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tcBorders>
              <w:left w:val="nil"/>
              <w:right w:val="nil"/>
            </w:tcBorders>
          </w:tcPr>
          <w:p w14:paraId="32A5CD7B" w14:textId="77777777" w:rsidR="00BA3F4F" w:rsidRPr="00412E5B" w:rsidRDefault="00BA3F4F" w:rsidP="008E1402">
            <w:pPr>
              <w:pStyle w:val="Heading1"/>
              <w:spacing w:before="0"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&gt;5000              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16(7.6%)</w:t>
            </w: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24(6%)</w:t>
            </w:r>
            <w:r w:rsidRPr="00412E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                    </w:t>
            </w:r>
            <w:r w:rsidRPr="0041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14:paraId="3714619D" w14:textId="77777777" w:rsidR="00BA3F4F" w:rsidRDefault="00BA3F4F" w:rsidP="00BA3F4F"/>
    <w:p w14:paraId="7E4DD920" w14:textId="5BCC5764" w:rsidR="008B07A6" w:rsidRPr="00BA3F4F" w:rsidRDefault="00BA3F4F">
      <w:pPr>
        <w:rPr>
          <w:rFonts w:ascii="Times New Roman" w:hAnsi="Times New Roman" w:cs="Times New Roman"/>
          <w:sz w:val="24"/>
          <w:szCs w:val="24"/>
        </w:rPr>
      </w:pPr>
      <w:r w:rsidRPr="00D273CE">
        <w:rPr>
          <w:rFonts w:ascii="Times New Roman" w:hAnsi="Times New Roman" w:cs="Times New Roman"/>
          <w:sz w:val="24"/>
          <w:szCs w:val="24"/>
        </w:rPr>
        <w:t>* = Significant at p &lt; 0.25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3CE">
        <w:rPr>
          <w:rFonts w:ascii="Times New Roman" w:hAnsi="Times New Roman" w:cs="Times New Roman"/>
          <w:sz w:val="24"/>
          <w:szCs w:val="24"/>
        </w:rPr>
        <w:t xml:space="preserve">** = Significant at p </w:t>
      </w:r>
      <w:r w:rsidRPr="00D273CE">
        <w:rPr>
          <w:rFonts w:ascii="Times New Roman" w:hAnsi="Times New Roman" w:cs="Times New Roman"/>
          <w:i/>
          <w:iCs/>
          <w:sz w:val="24"/>
          <w:szCs w:val="24"/>
        </w:rPr>
        <w:t xml:space="preserve">&lt; </w:t>
      </w:r>
      <w:r w:rsidRPr="00D273CE">
        <w:rPr>
          <w:rFonts w:ascii="Times New Roman" w:hAnsi="Times New Roman" w:cs="Times New Roman"/>
          <w:sz w:val="24"/>
          <w:szCs w:val="24"/>
        </w:rPr>
        <w:t>0.0</w:t>
      </w:r>
      <w:r>
        <w:rPr>
          <w:rFonts w:ascii="Times New Roman" w:hAnsi="Times New Roman" w:cs="Times New Roman"/>
          <w:sz w:val="24"/>
          <w:szCs w:val="24"/>
        </w:rPr>
        <w:t xml:space="preserve">5, </w:t>
      </w:r>
      <w:r w:rsidRPr="00D273CE">
        <w:rPr>
          <w:rFonts w:ascii="Times New Roman" w:hAnsi="Times New Roman" w:cs="Times New Roman"/>
          <w:sz w:val="24"/>
          <w:szCs w:val="24"/>
        </w:rPr>
        <w:t>1 = Reference group,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3CE">
        <w:rPr>
          <w:rFonts w:ascii="Times New Roman" w:hAnsi="Times New Roman" w:cs="Times New Roman"/>
          <w:sz w:val="24"/>
          <w:szCs w:val="24"/>
        </w:rPr>
        <w:t>COR = Crude odds ratio, AOR = Adjusted odds ratio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73CE">
        <w:rPr>
          <w:rFonts w:ascii="Times New Roman" w:hAnsi="Times New Roman" w:cs="Times New Roman"/>
          <w:sz w:val="24"/>
          <w:szCs w:val="24"/>
        </w:rPr>
        <w:t>CI = Confidence interval</w:t>
      </w:r>
      <w:r>
        <w:rPr>
          <w:rFonts w:ascii="Times New Roman" w:hAnsi="Times New Roman" w:cs="Times New Roman"/>
          <w:sz w:val="24"/>
          <w:szCs w:val="24"/>
        </w:rPr>
        <w:t>, ETB = Ethiopian birr</w:t>
      </w:r>
    </w:p>
    <w:sectPr w:rsidR="008B07A6" w:rsidRPr="00BA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4F"/>
    <w:rsid w:val="00066677"/>
    <w:rsid w:val="003A4E89"/>
    <w:rsid w:val="00556784"/>
    <w:rsid w:val="00743AFE"/>
    <w:rsid w:val="008B07A6"/>
    <w:rsid w:val="00987B63"/>
    <w:rsid w:val="00BA3F4F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1DE46"/>
  <w15:chartTrackingRefBased/>
  <w15:docId w15:val="{B1176E0C-8FAA-412E-AA6B-ABF6BB2E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4F"/>
    <w:pPr>
      <w:spacing w:line="259" w:lineRule="auto"/>
    </w:pPr>
    <w:rPr>
      <w:rFonts w:eastAsiaTheme="minorEastAsia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F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F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F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F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F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F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F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F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F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F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3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F4F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3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F4F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3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F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3F4F"/>
    <w:pPr>
      <w:spacing w:after="0" w:line="240" w:lineRule="auto"/>
    </w:pPr>
    <w:rPr>
      <w:rFonts w:eastAsiaTheme="minorEastAsia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1086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2026-05-28T04:02:00Z</dcterms:created>
  <dcterms:modified xsi:type="dcterms:W3CDTF">2026-05-28T04:03:00Z</dcterms:modified>
</cp:coreProperties>
</file>