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F918" w14:textId="77777777" w:rsidR="003C375E" w:rsidRPr="00B1518C" w:rsidRDefault="003C375E" w:rsidP="003C375E">
      <w:pPr>
        <w:keepNext/>
        <w:ind w:firstLine="0"/>
        <w:jc w:val="lef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FE0799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Table 1</w:t>
      </w:r>
      <w:r w:rsidRPr="00B1518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Diameter and thickness of the scaffolds.</w:t>
      </w:r>
    </w:p>
    <w:tbl>
      <w:tblPr>
        <w:tblW w:w="9070" w:type="dxa"/>
        <w:tblLayout w:type="fixed"/>
        <w:tblLook w:val="0600" w:firstRow="0" w:lastRow="0" w:firstColumn="0" w:lastColumn="0" w:noHBand="1" w:noVBand="1"/>
      </w:tblPr>
      <w:tblGrid>
        <w:gridCol w:w="2399"/>
        <w:gridCol w:w="3283"/>
        <w:gridCol w:w="3388"/>
      </w:tblGrid>
      <w:tr w:rsidR="003C375E" w:rsidRPr="00B1518C" w14:paraId="18EABC8C" w14:textId="77777777" w:rsidTr="002B0455">
        <w:trPr>
          <w:trHeight w:val="20"/>
          <w:tblHeader/>
        </w:trPr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3CB2A" w14:textId="77777777" w:rsidR="003C375E" w:rsidRPr="00B55AAB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5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Sample</w:t>
            </w: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BBA2" w14:textId="77777777" w:rsidR="003C375E" w:rsidRPr="00B55AAB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5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Diameter (mm)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2A96" w14:textId="77777777" w:rsidR="003C375E" w:rsidRPr="00B55AAB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5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Thickness (mm)</w:t>
            </w:r>
          </w:p>
        </w:tc>
      </w:tr>
      <w:tr w:rsidR="003C375E" w:rsidRPr="00B1518C" w14:paraId="7BE259A5" w14:textId="77777777" w:rsidTr="002B0455">
        <w:trPr>
          <w:trHeight w:val="20"/>
          <w:tblHeader/>
        </w:trPr>
        <w:tc>
          <w:tcPr>
            <w:tcW w:w="239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0A99" w14:textId="77777777" w:rsidR="003C375E" w:rsidRPr="00B55AAB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55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3283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4ADA" w14:textId="77777777" w:rsidR="003C375E" w:rsidRPr="00B55AAB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5A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9.65</w:t>
            </w:r>
            <w:r w:rsidRPr="00B55AA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  <w:r w:rsidRPr="00B55A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± 0.49</w:t>
            </w:r>
          </w:p>
        </w:tc>
        <w:tc>
          <w:tcPr>
            <w:tcW w:w="338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5AAD" w14:textId="77777777" w:rsidR="003C375E" w:rsidRPr="00B55AAB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55A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2.40</w:t>
            </w:r>
            <w:r w:rsidRPr="00B55AA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b</w:t>
            </w:r>
            <w:r w:rsidRPr="00B55AA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± 0.00</w:t>
            </w:r>
          </w:p>
        </w:tc>
      </w:tr>
      <w:tr w:rsidR="003C375E" w:rsidRPr="00B1518C" w14:paraId="7294C040" w14:textId="77777777" w:rsidTr="002B0455">
        <w:trPr>
          <w:trHeight w:val="20"/>
          <w:tblHeader/>
        </w:trPr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072F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1.5% OKP</w:t>
            </w:r>
          </w:p>
        </w:tc>
        <w:tc>
          <w:tcPr>
            <w:tcW w:w="3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65DF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11.45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a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± 0.35</w:t>
            </w:r>
          </w:p>
        </w:tc>
        <w:tc>
          <w:tcPr>
            <w:tcW w:w="33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0702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3.00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ab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± 0.14</w:t>
            </w:r>
          </w:p>
        </w:tc>
      </w:tr>
      <w:tr w:rsidR="003C375E" w:rsidRPr="00B1518C" w14:paraId="16823B7F" w14:textId="77777777" w:rsidTr="002B0455">
        <w:trPr>
          <w:trHeight w:val="20"/>
          <w:tblHeader/>
        </w:trPr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4013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2.5% OKP</w:t>
            </w:r>
          </w:p>
        </w:tc>
        <w:tc>
          <w:tcPr>
            <w:tcW w:w="3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F73C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11.90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a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± 0.56</w:t>
            </w:r>
          </w:p>
        </w:tc>
        <w:tc>
          <w:tcPr>
            <w:tcW w:w="33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ACEF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3.30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a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± 0.14</w:t>
            </w:r>
          </w:p>
        </w:tc>
      </w:tr>
      <w:tr w:rsidR="003C375E" w:rsidRPr="00B1518C" w14:paraId="2B0E2612" w14:textId="77777777" w:rsidTr="002B0455">
        <w:trPr>
          <w:trHeight w:val="20"/>
          <w:tblHeader/>
        </w:trPr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357B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3.5% OKP</w:t>
            </w:r>
          </w:p>
        </w:tc>
        <w:tc>
          <w:tcPr>
            <w:tcW w:w="32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67F5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12.25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a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± 0.49</w:t>
            </w:r>
          </w:p>
        </w:tc>
        <w:tc>
          <w:tcPr>
            <w:tcW w:w="33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E54A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2.40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b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± 0.14</w:t>
            </w:r>
          </w:p>
        </w:tc>
      </w:tr>
      <w:tr w:rsidR="003C375E" w:rsidRPr="00B1518C" w14:paraId="62801122" w14:textId="77777777" w:rsidTr="002B0455">
        <w:trPr>
          <w:trHeight w:val="20"/>
          <w:tblHeader/>
        </w:trPr>
        <w:tc>
          <w:tcPr>
            <w:tcW w:w="239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4060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5% OKP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99C9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12.50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a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± 0.14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97F9" w14:textId="77777777" w:rsidR="003C375E" w:rsidRPr="00B1518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bookmarkStart w:id="0" w:name="_heading=h.vd6sjz7fmk7a" w:colFirst="0" w:colLast="0"/>
            <w:bookmarkEnd w:id="0"/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3.45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BR"/>
              </w:rPr>
              <w:t>a</w:t>
            </w:r>
            <w:r w:rsidRPr="00B1518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± 0.07</w:t>
            </w:r>
          </w:p>
        </w:tc>
      </w:tr>
    </w:tbl>
    <w:p w14:paraId="661E31EC" w14:textId="77777777" w:rsidR="003C375E" w:rsidRPr="00B1518C" w:rsidRDefault="003C375E" w:rsidP="003C375E">
      <w:pPr>
        <w:spacing w:after="240"/>
        <w:ind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1518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Values are expressed as means of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triplicate</w:t>
      </w:r>
      <w:r w:rsidRPr="00B1518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± standard deviation. Different letters in the same row indicate significant differences (p &lt; 0.05). OKP: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O</w:t>
      </w:r>
      <w:r w:rsidRPr="00B1518C">
        <w:rPr>
          <w:rFonts w:ascii="Times New Roman" w:eastAsia="Times New Roman" w:hAnsi="Times New Roman" w:cs="Times New Roman"/>
          <w:sz w:val="20"/>
          <w:szCs w:val="20"/>
          <w:lang w:val="en-US"/>
        </w:rPr>
        <w:t>kara powder.</w:t>
      </w:r>
    </w:p>
    <w:p w14:paraId="0D05D6D8" w14:textId="77777777" w:rsidR="003C375E" w:rsidRPr="00B1518C" w:rsidRDefault="003C375E" w:rsidP="003C375E">
      <w:pPr>
        <w:keepNext/>
        <w:spacing w:line="240" w:lineRule="auto"/>
        <w:ind w:firstLine="0"/>
        <w:jc w:val="lef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B1518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Table 2.</w:t>
      </w:r>
      <w:r w:rsidRPr="00B1518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Porosity of the scaffolds calculated using ImageJ software.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70"/>
      </w:tblGrid>
      <w:tr w:rsidR="003C375E" w:rsidRPr="00B1518C" w14:paraId="79A45C7C" w14:textId="77777777" w:rsidTr="002B0455">
        <w:trPr>
          <w:trHeight w:val="340"/>
          <w:tblHeader/>
        </w:trPr>
        <w:tc>
          <w:tcPr>
            <w:tcW w:w="4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0FC8AD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44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927521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Porosity</w:t>
            </w:r>
          </w:p>
        </w:tc>
      </w:tr>
      <w:tr w:rsidR="003C375E" w:rsidRPr="00B1518C" w14:paraId="0674B5FE" w14:textId="77777777" w:rsidTr="002B0455">
        <w:trPr>
          <w:trHeight w:val="34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7CF7A9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35D68D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43.07%</w:t>
            </w:r>
          </w:p>
        </w:tc>
      </w:tr>
      <w:tr w:rsidR="003C375E" w:rsidRPr="00B1518C" w14:paraId="68008099" w14:textId="77777777" w:rsidTr="002B0455">
        <w:trPr>
          <w:trHeight w:val="34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7691C9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1.5% OKP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C3B4EB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15.48%</w:t>
            </w:r>
          </w:p>
        </w:tc>
      </w:tr>
      <w:tr w:rsidR="003C375E" w:rsidRPr="00B1518C" w14:paraId="5293548D" w14:textId="77777777" w:rsidTr="002B0455">
        <w:trPr>
          <w:trHeight w:val="34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256A1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2.5% OKP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251A7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31.51%</w:t>
            </w:r>
          </w:p>
        </w:tc>
      </w:tr>
      <w:tr w:rsidR="003C375E" w:rsidRPr="00B1518C" w14:paraId="37C6C246" w14:textId="77777777" w:rsidTr="002B0455">
        <w:trPr>
          <w:trHeight w:val="34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F79BD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3.5% OKP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8E43AB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40.70%</w:t>
            </w:r>
          </w:p>
        </w:tc>
      </w:tr>
      <w:tr w:rsidR="003C375E" w:rsidRPr="00B1518C" w14:paraId="7CA418A9" w14:textId="77777777" w:rsidTr="002B0455">
        <w:trPr>
          <w:trHeight w:val="340"/>
        </w:trPr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7D863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5% OKP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D52974" w14:textId="77777777" w:rsidR="003C375E" w:rsidRPr="00532DEC" w:rsidRDefault="003C375E" w:rsidP="002B045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D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63.00%</w:t>
            </w:r>
          </w:p>
        </w:tc>
      </w:tr>
    </w:tbl>
    <w:p w14:paraId="3E52FD36" w14:textId="77777777" w:rsidR="003C375E" w:rsidRPr="00B1518C" w:rsidRDefault="003C375E" w:rsidP="003C375E">
      <w:pPr>
        <w:spacing w:after="240"/>
        <w:ind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1" w:name="_heading=h.fc6n9tww1of3" w:colFirst="0" w:colLast="0"/>
      <w:bookmarkEnd w:id="1"/>
      <w:r w:rsidRPr="00B1518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OKP: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O</w:t>
      </w:r>
      <w:r w:rsidRPr="00B1518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kara powder. </w:t>
      </w:r>
      <w:bookmarkStart w:id="2" w:name="_Hlk229404960"/>
    </w:p>
    <w:bookmarkEnd w:id="2"/>
    <w:p w14:paraId="362F799F" w14:textId="77777777" w:rsidR="003C375E" w:rsidRPr="00CE40AA" w:rsidRDefault="003C375E" w:rsidP="003C375E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151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3 </w:t>
      </w:r>
      <w:r w:rsidRPr="00B1518C">
        <w:rPr>
          <w:rFonts w:ascii="Times New Roman" w:eastAsia="Times New Roman" w:hAnsi="Times New Roman" w:cs="Times New Roman"/>
          <w:sz w:val="20"/>
          <w:szCs w:val="20"/>
        </w:rPr>
        <w:t xml:space="preserve">Mechanical properties of sodium alginate scaffolds as a </w:t>
      </w:r>
      <w:r w:rsidRPr="00CE40AA">
        <w:rPr>
          <w:rFonts w:ascii="Times New Roman" w:eastAsia="Times New Roman" w:hAnsi="Times New Roman" w:cs="Times New Roman"/>
          <w:sz w:val="20"/>
          <w:szCs w:val="20"/>
        </w:rPr>
        <w:t>function of okara powder (OKP) concentration.</w:t>
      </w:r>
    </w:p>
    <w:tbl>
      <w:tblPr>
        <w:tblStyle w:val="Tabelacomgrade"/>
        <w:tblW w:w="8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19"/>
        <w:gridCol w:w="3219"/>
      </w:tblGrid>
      <w:tr w:rsidR="003C375E" w:rsidRPr="00CE40AA" w14:paraId="55FFC244" w14:textId="77777777" w:rsidTr="002B0455">
        <w:trPr>
          <w:trHeight w:val="397"/>
          <w:tblHeader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98E85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D6247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Shear stress (N)</w:t>
            </w:r>
          </w:p>
        </w:tc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00F17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Maximum Compression Force (N)</w:t>
            </w:r>
          </w:p>
        </w:tc>
      </w:tr>
      <w:tr w:rsidR="003C375E" w:rsidRPr="00CE40AA" w14:paraId="7B0F02B8" w14:textId="77777777" w:rsidTr="002B0455">
        <w:trPr>
          <w:trHeight w:val="39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FCC8D88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3219" w:type="dxa"/>
            <w:tcBorders>
              <w:top w:val="single" w:sz="4" w:space="0" w:color="auto"/>
            </w:tcBorders>
            <w:vAlign w:val="center"/>
          </w:tcPr>
          <w:p w14:paraId="755E8AA5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15.94±1.05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219" w:type="dxa"/>
            <w:tcBorders>
              <w:top w:val="single" w:sz="4" w:space="0" w:color="auto"/>
            </w:tcBorders>
            <w:vAlign w:val="center"/>
          </w:tcPr>
          <w:p w14:paraId="46F9DFE4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0.09±0.004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3C375E" w:rsidRPr="00CE40AA" w14:paraId="4117D7F3" w14:textId="77777777" w:rsidTr="002B0455">
        <w:trPr>
          <w:trHeight w:val="397"/>
        </w:trPr>
        <w:tc>
          <w:tcPr>
            <w:tcW w:w="2552" w:type="dxa"/>
            <w:vAlign w:val="center"/>
          </w:tcPr>
          <w:p w14:paraId="09E84555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1.5% OKP</w:t>
            </w:r>
          </w:p>
        </w:tc>
        <w:tc>
          <w:tcPr>
            <w:tcW w:w="3219" w:type="dxa"/>
            <w:vAlign w:val="center"/>
          </w:tcPr>
          <w:p w14:paraId="2EB8845A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13.32±1.32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219" w:type="dxa"/>
            <w:vAlign w:val="center"/>
          </w:tcPr>
          <w:p w14:paraId="77BA4C8E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0.097±0.002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3C375E" w:rsidRPr="00CE40AA" w14:paraId="1BC2F097" w14:textId="77777777" w:rsidTr="002B0455">
        <w:trPr>
          <w:trHeight w:val="397"/>
        </w:trPr>
        <w:tc>
          <w:tcPr>
            <w:tcW w:w="2552" w:type="dxa"/>
            <w:vAlign w:val="center"/>
          </w:tcPr>
          <w:p w14:paraId="4AC46290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2.5% OKP</w:t>
            </w:r>
          </w:p>
        </w:tc>
        <w:tc>
          <w:tcPr>
            <w:tcW w:w="3219" w:type="dxa"/>
            <w:vAlign w:val="center"/>
          </w:tcPr>
          <w:p w14:paraId="6B060D9E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14.00±0.85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219" w:type="dxa"/>
            <w:vAlign w:val="center"/>
          </w:tcPr>
          <w:p w14:paraId="62456866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0.092±0.004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3C375E" w:rsidRPr="00CE40AA" w14:paraId="75D826B2" w14:textId="77777777" w:rsidTr="002B0455">
        <w:trPr>
          <w:trHeight w:val="397"/>
        </w:trPr>
        <w:tc>
          <w:tcPr>
            <w:tcW w:w="2552" w:type="dxa"/>
            <w:vAlign w:val="center"/>
          </w:tcPr>
          <w:p w14:paraId="20949B09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3.5% OKP</w:t>
            </w:r>
          </w:p>
        </w:tc>
        <w:tc>
          <w:tcPr>
            <w:tcW w:w="3219" w:type="dxa"/>
            <w:vAlign w:val="center"/>
          </w:tcPr>
          <w:p w14:paraId="000C7B5F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15.18±0.82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219" w:type="dxa"/>
            <w:vAlign w:val="center"/>
          </w:tcPr>
          <w:p w14:paraId="79E5897B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0.096±0.006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3C375E" w:rsidRPr="00CE40AA" w14:paraId="43D6BC76" w14:textId="77777777" w:rsidTr="002B045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051819D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5% OKP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14:paraId="51E61CC1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12.73±1.28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14:paraId="03EA0537" w14:textId="77777777" w:rsidR="003C375E" w:rsidRPr="00CE40AA" w:rsidRDefault="003C375E" w:rsidP="002B045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</w:rPr>
              <w:t>0.136±0.027</w:t>
            </w:r>
            <w:r w:rsidRPr="00CE40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</w:tbl>
    <w:p w14:paraId="2008DE86" w14:textId="77777777" w:rsidR="003C375E" w:rsidRPr="00B1518C" w:rsidRDefault="003C375E" w:rsidP="003C375E">
      <w:pPr>
        <w:spacing w:after="24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CE40AA">
        <w:rPr>
          <w:rFonts w:ascii="Times New Roman" w:eastAsia="Times New Roman" w:hAnsi="Times New Roman" w:cs="Times New Roman"/>
          <w:sz w:val="20"/>
          <w:szCs w:val="20"/>
        </w:rPr>
        <w:t xml:space="preserve">Values represent the mean ± standard deviation (n = 3). Different superscript letters in the same column indicate statistically significant differences according to Tukey's test (p &lt; 0.05). OKP: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 w:rsidRPr="00CE40AA">
        <w:rPr>
          <w:rFonts w:ascii="Times New Roman" w:eastAsia="Times New Roman" w:hAnsi="Times New Roman" w:cs="Times New Roman"/>
          <w:sz w:val="20"/>
          <w:szCs w:val="20"/>
        </w:rPr>
        <w:t>kara powder.</w:t>
      </w:r>
    </w:p>
    <w:p w14:paraId="23283EAF" w14:textId="77777777" w:rsidR="00EA0214" w:rsidRPr="00B1518C" w:rsidRDefault="00EA0214" w:rsidP="00EA021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1518C">
        <w:rPr>
          <w:rFonts w:ascii="Times New Roman" w:hAnsi="Times New Roman" w:cs="Times New Roman"/>
          <w:b/>
          <w:bCs/>
          <w:sz w:val="20"/>
          <w:szCs w:val="20"/>
        </w:rPr>
        <w:t xml:space="preserve">Table 4 </w:t>
      </w:r>
      <w:r w:rsidRPr="00B1518C">
        <w:rPr>
          <w:rFonts w:ascii="Times New Roman" w:hAnsi="Times New Roman" w:cs="Times New Roman"/>
          <w:sz w:val="20"/>
          <w:szCs w:val="20"/>
        </w:rPr>
        <w:t>Quantitative expansion of bovine myoblasts on OKP-functionalized scaffolds.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4"/>
        <w:gridCol w:w="2602"/>
        <w:gridCol w:w="2968"/>
      </w:tblGrid>
      <w:tr w:rsidR="00EA0214" w:rsidRPr="00B1518C" w14:paraId="56258838" w14:textId="77777777" w:rsidTr="008A6071">
        <w:trPr>
          <w:trHeight w:val="437"/>
          <w:tblHeader/>
          <w:jc w:val="center"/>
        </w:trPr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</w:tcPr>
          <w:p w14:paraId="59F99298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</w:tcPr>
          <w:p w14:paraId="5679B4F2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 h (cells/sample)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x10</w:t>
            </w:r>
            <w:r w:rsidRPr="00D0776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61F9F0E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d (cells/sample)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x10</w:t>
            </w:r>
            <w:r w:rsidRPr="00D0776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</w:tr>
      <w:tr w:rsidR="00EA0214" w:rsidRPr="00B1518C" w14:paraId="4231E0F8" w14:textId="77777777" w:rsidTr="008A6071">
        <w:trPr>
          <w:trHeight w:val="437"/>
          <w:jc w:val="center"/>
        </w:trPr>
        <w:tc>
          <w:tcPr>
            <w:tcW w:w="3043" w:type="dxa"/>
            <w:tcBorders>
              <w:top w:val="single" w:sz="4" w:space="0" w:color="auto"/>
            </w:tcBorders>
          </w:tcPr>
          <w:p w14:paraId="78E7A5A8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2668" w:type="dxa"/>
            <w:tcBorders>
              <w:top w:val="single" w:sz="4" w:space="0" w:color="auto"/>
            </w:tcBorders>
          </w:tcPr>
          <w:p w14:paraId="69CB0BA6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  <w:r w:rsidRPr="00D0776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B1518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518C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2D8AD59E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9.95</w:t>
            </w:r>
            <w:r w:rsidRPr="00D0776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B1518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1.98</w:t>
            </w:r>
          </w:p>
        </w:tc>
      </w:tr>
      <w:tr w:rsidR="00EA0214" w:rsidRPr="00B1518C" w14:paraId="1AB1D8B5" w14:textId="77777777" w:rsidTr="008A6071">
        <w:trPr>
          <w:trHeight w:val="437"/>
          <w:jc w:val="center"/>
        </w:trPr>
        <w:tc>
          <w:tcPr>
            <w:tcW w:w="3043" w:type="dxa"/>
          </w:tcPr>
          <w:p w14:paraId="0E906A61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2.5% OKP</w:t>
            </w:r>
          </w:p>
        </w:tc>
        <w:tc>
          <w:tcPr>
            <w:tcW w:w="2668" w:type="dxa"/>
          </w:tcPr>
          <w:p w14:paraId="554DCE60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D0776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B1518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0.15</w:t>
            </w:r>
          </w:p>
        </w:tc>
        <w:tc>
          <w:tcPr>
            <w:tcW w:w="3053" w:type="dxa"/>
          </w:tcPr>
          <w:p w14:paraId="24F30920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  <w:r w:rsidRPr="00D0776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B1518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3.09</w:t>
            </w:r>
          </w:p>
        </w:tc>
      </w:tr>
      <w:tr w:rsidR="00EA0214" w:rsidRPr="00B1518C" w14:paraId="10633867" w14:textId="77777777" w:rsidTr="008A6071">
        <w:trPr>
          <w:trHeight w:val="437"/>
          <w:jc w:val="center"/>
        </w:trPr>
        <w:tc>
          <w:tcPr>
            <w:tcW w:w="3043" w:type="dxa"/>
            <w:tcBorders>
              <w:bottom w:val="single" w:sz="4" w:space="0" w:color="auto"/>
            </w:tcBorders>
          </w:tcPr>
          <w:p w14:paraId="33D3678E" w14:textId="77777777" w:rsidR="00EA0214" w:rsidRPr="00B1518C" w:rsidRDefault="00EA0214" w:rsidP="008A6071">
            <w:pPr>
              <w:ind w:left="67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5.0% OKP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50387738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2.82</w:t>
            </w:r>
            <w:r w:rsidRPr="00D0776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B1518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0.33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214287DF" w14:textId="77777777" w:rsidR="00EA0214" w:rsidRPr="00B1518C" w:rsidRDefault="00EA0214" w:rsidP="008A607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  <w:r w:rsidRPr="00D0776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B1518C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5.86</w:t>
            </w:r>
          </w:p>
        </w:tc>
      </w:tr>
    </w:tbl>
    <w:p w14:paraId="49777859" w14:textId="77777777" w:rsidR="00EA0214" w:rsidRPr="00B1518C" w:rsidRDefault="00EA0214" w:rsidP="00EA0214">
      <w:pPr>
        <w:spacing w:after="240"/>
        <w:ind w:right="282" w:firstLine="0"/>
        <w:rPr>
          <w:rFonts w:ascii="Times New Roman" w:hAnsi="Times New Roman" w:cs="Times New Roman"/>
          <w:sz w:val="20"/>
          <w:szCs w:val="20"/>
        </w:rPr>
      </w:pPr>
      <w:r w:rsidRPr="00425334">
        <w:rPr>
          <w:rFonts w:ascii="Times New Roman" w:hAnsi="Times New Roman" w:cs="Times New Roman"/>
          <w:sz w:val="20"/>
          <w:szCs w:val="20"/>
        </w:rPr>
        <w:t>Prolif</w:t>
      </w:r>
      <w:r>
        <w:rPr>
          <w:rFonts w:ascii="Times New Roman" w:hAnsi="Times New Roman" w:cs="Times New Roman"/>
          <w:sz w:val="20"/>
          <w:szCs w:val="20"/>
        </w:rPr>
        <w:t>eration of bovine myoblasts (1.</w:t>
      </w:r>
      <w:r w:rsidRPr="00425334">
        <w:rPr>
          <w:rFonts w:ascii="Times New Roman" w:hAnsi="Times New Roman" w:cs="Times New Roman"/>
          <w:sz w:val="20"/>
          <w:szCs w:val="20"/>
        </w:rPr>
        <w:t>10</w:t>
      </w:r>
      <w:r w:rsidRPr="00425334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425334">
        <w:rPr>
          <w:rFonts w:ascii="Times New Roman" w:hAnsi="Times New Roman" w:cs="Times New Roman"/>
          <w:sz w:val="20"/>
          <w:szCs w:val="20"/>
        </w:rPr>
        <w:t xml:space="preserve">seeding density) on alginate-OKP scaffolds. Cell counts were performed in triplicate (n=3) after DAPI staining and trypsinization. Values are expressed as mean ± </w:t>
      </w:r>
      <w:r w:rsidRPr="00425334">
        <w:rPr>
          <w:rFonts w:ascii="Times New Roman" w:hAnsi="Times New Roman" w:cs="Times New Roman"/>
          <w:sz w:val="20"/>
          <w:szCs w:val="20"/>
        </w:rPr>
        <w:lastRenderedPageBreak/>
        <w:t xml:space="preserve">standard deviation. </w:t>
      </w:r>
      <w:r w:rsidRPr="000C5343">
        <w:rPr>
          <w:rFonts w:ascii="Times New Roman" w:hAnsi="Times New Roman" w:cs="Times New Roman"/>
          <w:sz w:val="20"/>
          <w:szCs w:val="20"/>
          <w:vertAlign w:val="superscript"/>
        </w:rPr>
        <w:t>a,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0C5343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0C5343">
        <w:rPr>
          <w:rFonts w:ascii="Times New Roman" w:hAnsi="Times New Roman" w:cs="Times New Roman"/>
          <w:sz w:val="20"/>
          <w:szCs w:val="20"/>
        </w:rPr>
        <w:t>Different lowercase letters in the same row and uppercase letters in the same column indicate significant differences according to Tukey’s test (p &lt; 0.05)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425334">
        <w:rPr>
          <w:rFonts w:ascii="Times New Roman" w:eastAsia="Times New Roman" w:hAnsi="Times New Roman" w:cs="Times New Roman"/>
          <w:sz w:val="20"/>
          <w:szCs w:val="20"/>
        </w:rPr>
        <w:t>OKP: Okara powder.</w:t>
      </w:r>
    </w:p>
    <w:p w14:paraId="03A20DB4" w14:textId="19ECEA29" w:rsidR="00B959EF" w:rsidRPr="003C375E" w:rsidRDefault="00B959EF" w:rsidP="003C375E"/>
    <w:sectPr w:rsidR="00B959EF" w:rsidRPr="003C3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EF"/>
    <w:rsid w:val="003C375E"/>
    <w:rsid w:val="004F073D"/>
    <w:rsid w:val="005A7218"/>
    <w:rsid w:val="00B959EF"/>
    <w:rsid w:val="00E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69B7"/>
  <w15:chartTrackingRefBased/>
  <w15:docId w15:val="{818FA561-B3E1-4FC4-B072-418AB34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5E"/>
    <w:pPr>
      <w:spacing w:after="0" w:line="360" w:lineRule="auto"/>
      <w:ind w:firstLine="851"/>
      <w:jc w:val="both"/>
    </w:pPr>
    <w:rPr>
      <w:rFonts w:ascii="Arial" w:eastAsia="Arial" w:hAnsi="Arial" w:cs="Arial"/>
      <w:kern w:val="0"/>
      <w:lang w:val="en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59EF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59EF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59EF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59EF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59EF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59EF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59EF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59EF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59EF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59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59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59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59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59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59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59E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59EF"/>
    <w:pPr>
      <w:numPr>
        <w:ilvl w:val="1"/>
      </w:numPr>
      <w:spacing w:after="160" w:line="278" w:lineRule="auto"/>
      <w:ind w:firstLine="85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59EF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59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59EF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59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59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59E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C375E"/>
    <w:pPr>
      <w:spacing w:after="0" w:line="240" w:lineRule="auto"/>
      <w:ind w:firstLine="851"/>
      <w:jc w:val="both"/>
    </w:pPr>
    <w:rPr>
      <w:rFonts w:ascii="Arial" w:eastAsia="Arial" w:hAnsi="Arial" w:cs="Arial"/>
      <w:kern w:val="0"/>
      <w:lang w:val="en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Rezzadori</dc:creator>
  <cp:keywords/>
  <dc:description/>
  <cp:lastModifiedBy>Katia Rezzadori</cp:lastModifiedBy>
  <cp:revision>2</cp:revision>
  <dcterms:created xsi:type="dcterms:W3CDTF">2026-05-19T17:57:00Z</dcterms:created>
  <dcterms:modified xsi:type="dcterms:W3CDTF">2026-05-21T14:04:00Z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592d57c8-b9ef-4133-9c5c-14eafeab9d0c</vt:lpwstr>
  </property>
</Properties>
</file>