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  <w:jc w:val="center"/>
      </w:pPr>
      <w:r>
        <w:rPr>
          <w:rFonts w:ascii="Times New Roman" w:hAnsi="Times New Roman" w:eastAsia="Times New Roman"/>
          <w:b/>
          <w:sz w:val="32"/>
        </w:rPr>
        <w:t>Additional file 1: Supplementary materials</w:t>
      </w:r>
    </w:p>
    <w:p>
      <w:pPr>
        <w:pStyle w:val="Heading1"/>
      </w:pPr>
      <w:r>
        <w:rPr>
          <w:rFonts w:ascii="Times New Roman" w:hAnsi="Times New Roman" w:eastAsia="Times New Roman"/>
        </w:rPr>
        <w:t>Supplementary Table 1 DeLong test results for AUC comparisons among the three models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994"/>
        <w:gridCol w:w="1994"/>
        <w:gridCol w:w="1994"/>
        <w:gridCol w:w="1994"/>
        <w:gridCol w:w="1994"/>
      </w:tblGrid>
      <w:tr>
        <w:trPr>
          <w:tblHeader w:val="true"/>
        </w:trPr>
        <w:tc>
          <w:tcPr>
            <w:tcW w:type="dxa" w:w="3600"/>
            <w:vAlign w:val="center"/>
            <w:tcBorders>
              <w:top w:val="single" w:sz="12" w:color="1F4E79"/>
              <w:bottom w:val="single" w:sz="10" w:color="1F4E79"/>
              <w:left w:val="nil"/>
              <w:right w:val="nil"/>
            </w:tcBorders>
            <w:shd w:fill="D9EAF7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Times New Roman"/>
                <w:b/>
                <w:sz w:val="18"/>
              </w:rPr>
              <w:t>Model comparison</w:t>
            </w:r>
          </w:p>
        </w:tc>
        <w:tc>
          <w:tcPr>
            <w:tcW w:type="dxa" w:w="1152"/>
            <w:vAlign w:val="center"/>
            <w:tcBorders>
              <w:top w:val="single" w:sz="12" w:color="1F4E79"/>
              <w:bottom w:val="single" w:sz="10" w:color="1F4E79"/>
              <w:left w:val="nil"/>
              <w:right w:val="nil"/>
            </w:tcBorders>
            <w:shd w:fill="D9EAF7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Times New Roman"/>
                <w:b/>
                <w:sz w:val="18"/>
              </w:rPr>
              <w:t>AUC 1</w:t>
            </w:r>
          </w:p>
        </w:tc>
        <w:tc>
          <w:tcPr>
            <w:tcW w:type="dxa" w:w="1152"/>
            <w:vAlign w:val="center"/>
            <w:tcBorders>
              <w:top w:val="single" w:sz="12" w:color="1F4E79"/>
              <w:bottom w:val="single" w:sz="10" w:color="1F4E79"/>
              <w:left w:val="nil"/>
              <w:right w:val="nil"/>
            </w:tcBorders>
            <w:shd w:fill="D9EAF7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Times New Roman"/>
                <w:b/>
                <w:sz w:val="18"/>
              </w:rPr>
              <w:t>AUC 2</w:t>
            </w:r>
          </w:p>
        </w:tc>
        <w:tc>
          <w:tcPr>
            <w:tcW w:type="dxa" w:w="1152"/>
            <w:vAlign w:val="center"/>
            <w:tcBorders>
              <w:top w:val="single" w:sz="12" w:color="1F4E79"/>
              <w:bottom w:val="single" w:sz="10" w:color="1F4E79"/>
              <w:left w:val="nil"/>
              <w:right w:val="nil"/>
            </w:tcBorders>
            <w:shd w:fill="D9EAF7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Times New Roman"/>
                <w:b/>
                <w:sz w:val="18"/>
              </w:rPr>
              <w:t>Z value</w:t>
            </w:r>
          </w:p>
        </w:tc>
        <w:tc>
          <w:tcPr>
            <w:tcW w:type="dxa" w:w="1152"/>
            <w:vAlign w:val="center"/>
            <w:tcBorders>
              <w:top w:val="single" w:sz="12" w:color="1F4E79"/>
              <w:bottom w:val="single" w:sz="10" w:color="1F4E79"/>
              <w:left w:val="nil"/>
              <w:right w:val="nil"/>
            </w:tcBorders>
            <w:shd w:fill="D9EAF7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Times New Roman"/>
                <w:b/>
                <w:sz w:val="18"/>
              </w:rPr>
              <w:t>P value</w:t>
            </w:r>
          </w:p>
        </w:tc>
      </w:tr>
      <w:tr>
        <w:tc>
          <w:tcPr>
            <w:tcW w:type="dxa" w:w="3600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Combined model vs Clinicopathological model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0.910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0.880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2.270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0.023</w:t>
            </w:r>
          </w:p>
        </w:tc>
      </w:tr>
      <w:tr>
        <w:tc>
          <w:tcPr>
            <w:tcW w:type="dxa" w:w="3600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  <w:shd w:fill="F7FBFF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Combined model vs Imaging-report model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  <w:shd w:fill="F7FBFF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0.910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  <w:shd w:fill="F7FBFF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0.703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  <w:shd w:fill="F7FBFF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5.141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4" w:color="D9EAF7"/>
              <w:left w:val="nil"/>
              <w:right w:val="nil"/>
            </w:tcBorders>
            <w:shd w:fill="F7FBFF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&lt;0.001</w:t>
            </w:r>
          </w:p>
        </w:tc>
      </w:tr>
      <w:tr>
        <w:tc>
          <w:tcPr>
            <w:tcW w:type="dxa" w:w="3600"/>
            <w:vAlign w:val="center"/>
            <w:tcBorders>
              <w:top w:val="nil"/>
              <w:bottom w:val="single" w:sz="12" w:color="1F4E79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Clinicopathological model vs Imaging-report model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12" w:color="1F4E79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0.880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12" w:color="1F4E79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0.703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12" w:color="1F4E79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3.624</w:t>
            </w:r>
          </w:p>
        </w:tc>
        <w:tc>
          <w:tcPr>
            <w:tcW w:type="dxa" w:w="1152"/>
            <w:vAlign w:val="center"/>
            <w:tcBorders>
              <w:top w:val="nil"/>
              <w:bottom w:val="single" w:sz="12" w:color="1F4E79"/>
              <w:left w:val="nil"/>
              <w:right w:val="nil"/>
            </w:tcBorders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eastAsia="Times New Roman"/>
                <w:sz w:val="18"/>
              </w:rPr>
              <w:t>&lt;0.001</w:t>
            </w:r>
          </w:p>
        </w:tc>
      </w:tr>
    </w:tbl>
    <w:p>
      <w:pPr>
        <w:pStyle w:val="TableNote"/>
      </w:pPr>
      <w:r>
        <w:rPr>
          <w:rFonts w:ascii="Times New Roman" w:hAnsi="Times New Roman" w:eastAsia="Times New Roman"/>
        </w:rPr>
        <w:t>Abbreviations: AUC, area under the curve; pCR, pathological complete response; MRI, magnetic resonance imaging.</w:t>
      </w:r>
    </w:p>
    <w:p>
      <w:pPr>
        <w:pStyle w:val="Heading1"/>
      </w:pPr>
      <w:r>
        <w:rPr>
          <w:rFonts w:ascii="Times New Roman" w:hAnsi="Times New Roman" w:eastAsia="Times New Roman"/>
        </w:rPr>
        <w:t>Supplementary Figure 1 Overall Hallmark GSEA ridgeplot of pCR versus non-pCR in GSE194040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303520" cy="39776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FigureLegend"/>
      </w:pPr>
      <w:r>
        <w:rPr>
          <w:rFonts w:ascii="Times New Roman" w:hAnsi="Times New Roman" w:eastAsia="Times New Roman"/>
        </w:rPr>
        <w:t>Each ridgeline represents the distribution of a significantly enriched Hallmark pathway between the pCR and non-pCR groups. Color indicates the adjusted P value (p.adjust), and the x-axis represents the normalized enrichment score (NES). pCR, pathological complete response; GSEA, gene set enrichment analysis; NES, normalized enrichment score.</w:t>
      </w:r>
    </w:p>
    <w:p>
      <w:pPr>
        <w:pStyle w:val="Heading1"/>
      </w:pPr>
      <w:r>
        <w:rPr>
          <w:rFonts w:ascii="Times New Roman" w:hAnsi="Times New Roman" w:eastAsia="Times New Roman"/>
        </w:rPr>
        <w:t>Supplementary Figure 2 Subgroup Hallmark GSEA ridgeplots of pCR versus non-pCR in GSE194040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425195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2519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FigureLegend"/>
      </w:pPr>
      <w:r>
        <w:rPr>
          <w:rFonts w:ascii="Times New Roman" w:hAnsi="Times New Roman" w:eastAsia="Times New Roman"/>
        </w:rPr>
        <w:t>a HR-positive subgroup; b HR-negative subgroup; c HER2-positive subgroup; d HER2-negative subgroup. Ridgeplots show the distribution of ranked genes in enriched Hallmark pathways within each subgroup. The color gradient represents the adjusted P value. pCR, pathological complete response; GSEA, gene set enrichment analysis; HR, hormone receptor; HER2, human epidermal growth factor receptor 2.</w:t>
      </w:r>
    </w:p>
    <w:sectPr>
      <w:footerReference w:type="default" r:id="rId9"/>
      <w:pgSz w:w="12240" w:h="15840"/>
      <w:pgMar w:top="1134" w:right="1134" w:bottom="1134" w:left="1134" w:header="720" w:footer="720" w:gutter="0"/>
      <w:cols w:space="720"/>
      <w:docGrid w:linePitch="360"/>
      <w:lnNumType w:countBy="1" w:restart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Times New Roman" w:hAnsi="Times New Roman"/>
        <w:sz w:val="20"/>
      </w:rPr>
      <w:t xml:space="preserve">Page </w:t>
    </w:r>
    <w:r>
      <w:rPr>
        <w:rFonts w:ascii="Times New Roman" w:hAnsi="Times New Roman"/>
        <w:sz w:val="20"/>
      </w:rP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480" w:lineRule="auto" w:after="120"/>
    </w:pPr>
    <w:rPr>
      <w:rFonts w:ascii="Times New Roman" w:hAnsi="Times New Roman" w:eastAsia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ableNote">
    <w:name w:val="Table Note"/>
    <w:pPr>
      <w:spacing w:line="240" w:lineRule="auto" w:after="60"/>
    </w:pPr>
    <w:rPr>
      <w:rFonts w:ascii="Times New Roman" w:hAnsi="Times New Roman" w:eastAsia="Times New Roman"/>
      <w:sz w:val="18"/>
    </w:rPr>
  </w:style>
  <w:style w:type="paragraph" w:customStyle="1" w:styleId="FigureLegend">
    <w:name w:val="Figure Legend"/>
    <w:pPr>
      <w:spacing w:line="276" w:lineRule="auto" w:after="120"/>
    </w:pPr>
    <w:rPr>
      <w:rFonts w:ascii="Times New Roman" w:hAnsi="Times New Roman" w:eastAsia="Times New Roman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materials</dc:title>
  <dc:subject/>
  <dc:creator/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