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ascii="Times New Roman" w:hAnsi="Times New Roman" w:eastAsia="Times New Roman"/>
          <w:b/>
          <w:sz w:val="28"/>
        </w:rPr>
        <w:t>Supplementary Tables</w:t>
      </w:r>
    </w:p>
    <w:p>
      <w:pPr>
        <w:spacing w:before="0" w:after="80"/>
        <w:rPr>
          <w:b/>
          <w:sz w:val="20"/>
        </w:rPr>
      </w:pPr>
    </w:p>
    <w:p>
      <w:pPr>
        <w:spacing w:before="0" w:after="80"/>
      </w:pPr>
      <w:r>
        <w:rPr>
          <w:b/>
          <w:sz w:val="20"/>
        </w:rPr>
        <w:t>Supplementary Table S1. Unadjusted association between intraoperative temperature trajectory class and early allograft dysfunction</w:t>
      </w:r>
    </w:p>
    <w:tbl>
      <w:tblPr>
        <w:tblStyle w:val="3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8"/>
        <w:gridCol w:w="1584"/>
        <w:gridCol w:w="1872"/>
        <w:gridCol w:w="2592"/>
        <w:gridCol w:w="2448"/>
        <w:gridCol w:w="1152"/>
      </w:tblGrid>
      <w:tr>
        <w:trPr>
          <w:trHeight w:val="340" w:hRule="atLeast"/>
          <w:jc w:val="center"/>
        </w:trPr>
        <w:tc>
          <w:tcPr>
            <w:tcW w:w="31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Bold" w:hAnsi="Times New Roman Bold" w:cs="Times New Roman Bold"/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16"/>
                <w:szCs w:val="16"/>
              </w:rPr>
              <w:t>Variable</w:t>
            </w:r>
          </w:p>
        </w:tc>
        <w:tc>
          <w:tcPr>
            <w:tcW w:w="15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Bold" w:hAnsi="Times New Roman Bold" w:cs="Times New Roman Bold"/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16"/>
                <w:szCs w:val="16"/>
              </w:rPr>
              <w:t>No. of patients</w:t>
            </w: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Bold" w:hAnsi="Times New Roman Bold" w:cs="Times New Roman Bold"/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16"/>
                <w:szCs w:val="16"/>
              </w:rPr>
              <w:t>EAD events, n (%)</w:t>
            </w:r>
          </w:p>
        </w:tc>
        <w:tc>
          <w:tcPr>
            <w:tcW w:w="25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Bold" w:hAnsi="Times New Roman Bold" w:cs="Times New Roman Bold"/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16"/>
                <w:szCs w:val="16"/>
              </w:rPr>
              <w:t>Reference / scale</w:t>
            </w:r>
          </w:p>
        </w:tc>
        <w:tc>
          <w:tcPr>
            <w:tcW w:w="24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Bold" w:hAnsi="Times New Roman Bold" w:cs="Times New Roman Bold"/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16"/>
                <w:szCs w:val="16"/>
              </w:rPr>
              <w:t>OR or aOR (95% CI)</w:t>
            </w:r>
          </w:p>
        </w:tc>
        <w:tc>
          <w:tcPr>
            <w:tcW w:w="115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Bold" w:hAnsi="Times New Roman Bold" w:cs="Times New Roman Bold"/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16"/>
                <w:szCs w:val="16"/>
              </w:rPr>
              <w:t>P value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  <w:t>Trajectory class</w:t>
            </w:r>
          </w:p>
        </w:tc>
        <w:tc>
          <w:tcPr>
            <w:tcW w:w="1584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  <w:t>Class 4</w:t>
            </w:r>
          </w:p>
        </w:tc>
        <w:tc>
          <w:tcPr>
            <w:tcW w:w="2448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  <w:t>0.001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  <w:t>Class 1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  <w:t>59</w:t>
            </w: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  <w:t>31 (52.5)</w:t>
            </w: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  <w:t>Class 4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  <w:t>2.82 (1.51–5.29)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  <w:t>0.001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  <w:t>Class 2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  <w:t>127</w:t>
            </w: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  <w:t>57 (44.9)</w:t>
            </w: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  <w:t>Class 4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  <w:t>2.08 (1.25–3.44)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  <w:t>0.005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  <w:t>Class 3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  <w:t>185</w:t>
            </w: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  <w:t>61 (33.0)</w:t>
            </w: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  <w:t>Class 4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  <w:t>1.25 (0.78–2.02)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  <w:t>0.352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  <w:t>Class 4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  <w:t>142</w:t>
            </w: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  <w:t>40 (28.2)</w:t>
            </w: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  <w:t>Reference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  <w:t>Reference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</w:p>
        </w:tc>
      </w:tr>
      <w:tr>
        <w:trPr>
          <w:trHeight w:val="340" w:hRule="atLeast"/>
          <w:jc w:val="center"/>
        </w:trPr>
        <w:tc>
          <w:tcPr>
            <w:tcW w:w="3168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  <w:t>P for trend across trajectory classes</w:t>
            </w:r>
          </w:p>
        </w:tc>
        <w:tc>
          <w:tcPr>
            <w:tcW w:w="1584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  <w:t>Per severity step</w:t>
            </w:r>
          </w:p>
        </w:tc>
        <w:tc>
          <w:tcPr>
            <w:tcW w:w="2448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1152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16"/>
                <w:szCs w:val="16"/>
              </w:rPr>
              <w:t>&lt;0.001</w:t>
            </w:r>
          </w:p>
        </w:tc>
      </w:tr>
    </w:tbl>
    <w:p>
      <w:pPr>
        <w:spacing w:before="60" w:after="0"/>
      </w:pPr>
      <w:r>
        <w:rPr>
          <w:sz w:val="16"/>
        </w:rPr>
        <w:t>Complete-case logistic regression; n=513, EAD events=189. Model was unadjusted. Reference trajectory class: Class 4. Overall P for trajectory class was obtained using a likelihood-ratio test. Trend test coded trajectory classes according to increasing thermal severity from Class 4 to Class 1. Abbreviations: CI, confidence interval; EAD, early allograft dysfunction; OR, odds ratio.</w:t>
      </w:r>
    </w:p>
    <w:p>
      <w:r>
        <w:br w:type="page"/>
      </w:r>
    </w:p>
    <w:p>
      <w:pPr>
        <w:spacing w:before="0" w:after="80"/>
      </w:pPr>
      <w:r>
        <w:rPr>
          <w:b/>
          <w:sz w:val="20"/>
        </w:rPr>
        <w:t>Supplementary Table S2. Recipient-adjusted association between intraoperative temperature trajectory class and early allograft dysfunction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8"/>
        <w:gridCol w:w="1584"/>
        <w:gridCol w:w="1872"/>
        <w:gridCol w:w="2592"/>
        <w:gridCol w:w="2448"/>
        <w:gridCol w:w="1152"/>
      </w:tblGrid>
      <w:tr>
        <w:trPr>
          <w:trHeight w:val="340" w:hRule="atLeast"/>
          <w:jc w:val="center"/>
        </w:trPr>
        <w:tc>
          <w:tcPr>
            <w:tcW w:w="3168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Variable</w:t>
            </w:r>
          </w:p>
        </w:tc>
        <w:tc>
          <w:tcPr>
            <w:tcW w:w="1584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No. of patients</w:t>
            </w:r>
          </w:p>
        </w:tc>
        <w:tc>
          <w:tcPr>
            <w:tcW w:w="1872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EAD events, n (%)</w:t>
            </w:r>
          </w:p>
        </w:tc>
        <w:tc>
          <w:tcPr>
            <w:tcW w:w="2592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Reference / scale</w:t>
            </w:r>
          </w:p>
        </w:tc>
        <w:tc>
          <w:tcPr>
            <w:tcW w:w="2448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OR or aOR (95% CI)</w:t>
            </w:r>
          </w:p>
        </w:tc>
        <w:tc>
          <w:tcPr>
            <w:tcW w:w="1152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P value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Trajectory class</w:t>
            </w:r>
          </w:p>
        </w:tc>
        <w:tc>
          <w:tcPr>
            <w:tcW w:w="1584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Class 4</w:t>
            </w:r>
          </w:p>
        </w:tc>
        <w:tc>
          <w:tcPr>
            <w:tcW w:w="2448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0.003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Class 1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59</w:t>
            </w: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31 (52.5)</w:t>
            </w: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Class 4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2.83 (1.49–5.36)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0.001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Class 2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125</w:t>
            </w: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56 (44.8)</w:t>
            </w: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Class 4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2.00 (1.20–3.35)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0.008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Class 3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182</w:t>
            </w: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60 (33.0)</w:t>
            </w: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Class 4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1.26 (0.77–2.04)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0.358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Class 4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141</w:t>
            </w: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40 (28.4)</w:t>
            </w: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Reference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Reference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Age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1-year increase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1.03 (1.01–1.05)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0.009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Male sex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Female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1.21 (0.76–1.92)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0.422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MELD-Na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1-point increase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1.02 (1.00–1.04)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0.051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Albumin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1-g/L increase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0.99 (0.96–1.02)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0.667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P for trend across trajectory classes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Per severity step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&lt;0.001</w:t>
            </w:r>
          </w:p>
        </w:tc>
      </w:tr>
    </w:tbl>
    <w:p>
      <w:pPr>
        <w:spacing w:before="60" w:after="0"/>
      </w:pPr>
      <w:r>
        <w:rPr>
          <w:sz w:val="16"/>
        </w:rPr>
        <w:t>Complete-case logistic regression; n=507, EAD events=187. Model adjusted for age, sex, MELD-Na, and albumin. Trajectory class was entered as a categorical variable, with Class 4 as the reference. Overall P for trajectory class was obtained using a likelihood-ratio test. Trend test coded trajectory classes according to increasing thermal severity from Class 4 to Class 1. Abbreviations: CI, confidence interval; EAD, early allograft dysfunction; MELD-Na, Model for End-stage Liver Disease incorporating sodium; OR, odds ratio.</w:t>
      </w:r>
    </w:p>
    <w:p>
      <w:r>
        <w:br w:type="page"/>
      </w:r>
    </w:p>
    <w:p>
      <w:pPr>
        <w:spacing w:before="0" w:after="80"/>
      </w:pPr>
      <w:r>
        <w:rPr>
          <w:b/>
          <w:sz w:val="20"/>
        </w:rPr>
        <w:t>Supplementary Table S3. Recipient and donor-graft-adjusted association between intraoperative temperature trajectory class and early allograft dysfunction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8"/>
        <w:gridCol w:w="1584"/>
        <w:gridCol w:w="1872"/>
        <w:gridCol w:w="2592"/>
        <w:gridCol w:w="2448"/>
        <w:gridCol w:w="1152"/>
      </w:tblGrid>
      <w:tr>
        <w:trPr>
          <w:trHeight w:val="340" w:hRule="atLeast"/>
          <w:jc w:val="center"/>
        </w:trPr>
        <w:tc>
          <w:tcPr>
            <w:tcW w:w="3168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Variable</w:t>
            </w:r>
          </w:p>
        </w:tc>
        <w:tc>
          <w:tcPr>
            <w:tcW w:w="1584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No. of patients</w:t>
            </w:r>
          </w:p>
        </w:tc>
        <w:tc>
          <w:tcPr>
            <w:tcW w:w="1872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EAD events, n (%)</w:t>
            </w:r>
          </w:p>
        </w:tc>
        <w:tc>
          <w:tcPr>
            <w:tcW w:w="2592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Reference / scale</w:t>
            </w:r>
          </w:p>
        </w:tc>
        <w:tc>
          <w:tcPr>
            <w:tcW w:w="2448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OR or aOR (95% CI)</w:t>
            </w:r>
          </w:p>
        </w:tc>
        <w:tc>
          <w:tcPr>
            <w:tcW w:w="1152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P value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Trajectory class</w:t>
            </w:r>
          </w:p>
        </w:tc>
        <w:tc>
          <w:tcPr>
            <w:tcW w:w="1584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Class 4</w:t>
            </w:r>
          </w:p>
        </w:tc>
        <w:tc>
          <w:tcPr>
            <w:tcW w:w="2448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0.037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Class 1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59</w:t>
            </w: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31 (52.5)</w:t>
            </w: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Class 4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2.14 (1.10–4.14)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0.024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Class 2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126</w:t>
            </w: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57 (45.2)</w:t>
            </w: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Class 4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1.77 (1.04–3.02)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0.035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Class 3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182</w:t>
            </w: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60 (33.0)</w:t>
            </w: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Class 4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1.11 (0.67–1.84)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0.673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Class 4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141</w:t>
            </w: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40 (28.4)</w:t>
            </w: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Reference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Reference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Age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1-year increase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1.03 (1.01–1.05)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0.005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Male sex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Female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1.18 (0.73–1.91)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0.502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MELD-Na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1-point increase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1.02 (1.00–1.04)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0.113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Albumin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1-g/L increase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0.98 (0.95–1.02)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0.292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Graft type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DBD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0.081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DCD-related graft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DBD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1.61 (1.05–2.45)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0.028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Living donor graft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DBD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1.40 (0.52–3.78)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0.507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Cold ischemia time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60-min increase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1.11 (1.03–1.21)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0.010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Donor liver steatosis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10% increase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1.39 (1.06–1.81)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0.016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P for trend across trajectory classes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Per severity step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1.32 (1.09–1.62)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0.005</w:t>
            </w:r>
          </w:p>
        </w:tc>
      </w:tr>
    </w:tbl>
    <w:p>
      <w:pPr>
        <w:spacing w:before="60" w:after="0"/>
      </w:pPr>
      <w:r>
        <w:rPr>
          <w:sz w:val="16"/>
        </w:rPr>
        <w:t>Complete-case logistic regression; n=508, EAD events=188. Model adjusted for recipient and donor-graft factors, including age, sex, MELD-Na, albumin, graft type, cold ischemia time, and donor liver steatosis. Reference trajectory class: Class 4. Graft type was categorized as DBD, DCD-related (DCD + DBCD), and living donor, with DBD as the reference. Continuous variables are entered on the scales shown. Abbreviations: CI, confidence interval; DBCD, donation after brain and circulatory death; DBD, donation after brain death; DCD, donation after circulatory death; EAD, early allograft dysfunction; MELD-Na, Model for End-stage Liver Disease incorporating sodium; OR, odds ratio.</w:t>
      </w:r>
    </w:p>
    <w:p>
      <w:r>
        <w:br w:type="page"/>
      </w:r>
    </w:p>
    <w:p>
      <w:pPr>
        <w:spacing w:before="0" w:after="80"/>
      </w:pPr>
      <w:r>
        <w:rPr>
          <w:b/>
          <w:sz w:val="20"/>
        </w:rPr>
        <w:t>Supplementary Table S4. Fully adjusted association between intraoperative temperature trajectory class and early allograft dysfunction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8"/>
        <w:gridCol w:w="1584"/>
        <w:gridCol w:w="1872"/>
        <w:gridCol w:w="2592"/>
        <w:gridCol w:w="2448"/>
        <w:gridCol w:w="1152"/>
      </w:tblGrid>
      <w:tr>
        <w:trPr>
          <w:trHeight w:val="340" w:hRule="atLeast"/>
          <w:jc w:val="center"/>
        </w:trPr>
        <w:tc>
          <w:tcPr>
            <w:tcW w:w="3168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Variable</w:t>
            </w:r>
          </w:p>
        </w:tc>
        <w:tc>
          <w:tcPr>
            <w:tcW w:w="1584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No. of patients</w:t>
            </w:r>
          </w:p>
        </w:tc>
        <w:tc>
          <w:tcPr>
            <w:tcW w:w="1872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EAD events, n (%)</w:t>
            </w:r>
          </w:p>
        </w:tc>
        <w:tc>
          <w:tcPr>
            <w:tcW w:w="2592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Reference / scale</w:t>
            </w:r>
          </w:p>
        </w:tc>
        <w:tc>
          <w:tcPr>
            <w:tcW w:w="2448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OR or aOR (95% CI)</w:t>
            </w:r>
          </w:p>
        </w:tc>
        <w:tc>
          <w:tcPr>
            <w:tcW w:w="1152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P value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Trajectory class</w:t>
            </w:r>
          </w:p>
        </w:tc>
        <w:tc>
          <w:tcPr>
            <w:tcW w:w="1584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Class 4</w:t>
            </w:r>
          </w:p>
        </w:tc>
        <w:tc>
          <w:tcPr>
            <w:tcW w:w="2448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0.242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Class 1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59</w:t>
            </w: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31 (52.5)</w:t>
            </w: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Class 4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1.49 (0.73–3.04)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0.271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Class 2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126</w:t>
            </w: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57 (45.2)</w:t>
            </w: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Class 4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1.71 (0.97–2.99)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0.062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Class 3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180</w:t>
            </w: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60 (33.3)</w:t>
            </w: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Class 4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1.14 (0.67–1.93)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0.636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Class 4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140</w:t>
            </w: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40 (28.6)</w:t>
            </w: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Reference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Reference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Age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1-year increase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1.03 (1.01–1.05)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0.007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Male sex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Female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1.27 (0.76–2.11)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0.369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MELD-Na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1-point increase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1.01 (0.99–1.04)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0.240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Albumin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1-g/L increase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1.01 (0.97–1.04)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0.641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Graft type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DBD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DCD-related graft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DBD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1.85 (1.17–2.93)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0.009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Living donor graft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DBD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1.20 (0.42–3.41)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0.730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Cold ischemia time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60-min increase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1.03 (0.94–1.13)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0.489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Donor liver steatosis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10% increase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1.33 (1.00–1.75)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0.049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Duration of MAP &lt;65 mmHg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10-min increase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1.02 (1.00–1.05)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0.103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Anhepatic phase duration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10-min increase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1.07 (0.93–1.23)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0.351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Red blood cell transfusion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1000-mL increase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1.70 (1.39–2.09)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&lt;0.001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P for trend across trajectory classes</w:t>
            </w:r>
          </w:p>
        </w:tc>
        <w:tc>
          <w:tcPr>
            <w:tcW w:w="15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59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Per severity step</w:t>
            </w:r>
          </w:p>
        </w:tc>
        <w:tc>
          <w:tcPr>
            <w:tcW w:w="244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1.21 (0.98–1.49)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0.077</w:t>
            </w:r>
          </w:p>
        </w:tc>
      </w:tr>
    </w:tbl>
    <w:p>
      <w:pPr>
        <w:spacing w:before="60" w:after="0"/>
      </w:pPr>
      <w:r>
        <w:rPr>
          <w:sz w:val="16"/>
        </w:rPr>
        <w:t>Complete-case logistic regression; n=505, EAD events=188. The fully adjusted model included trajectory class, age, sex, MELD-Na, albumin, graft type, cold ischemia time, donor liver steatosis, duration of MAP &lt;65 mmHg, anhepatic phase duration, and red blood cell transfusion. Reference trajectory class: Class 4. Reference graft type: DBD. Graft type was categorized as DBD, DCD-related (DCD + DBCD), and living donor. Continuous variables are entered on the scales shown. Trajectory class global P was obtained using a likelihood-ratio test. Abbreviations: CI, confidence interval; EAD, early allograft dysfunction; MAP, mean arterial pressure; MELD-Na, Model for End-stage Liver Disease incorporating sodium; OR, odds ratio.</w:t>
      </w:r>
    </w:p>
    <w:p>
      <w:r>
        <w:br w:type="page"/>
      </w:r>
    </w:p>
    <w:p>
      <w:pPr>
        <w:spacing w:before="0" w:after="80"/>
      </w:pPr>
      <w:r>
        <w:rPr>
          <w:b/>
          <w:sz w:val="20"/>
        </w:rPr>
        <w:t>Supplementary Table S5. Unadjusted association between peri-reperfusion AUC below 36°C and early allograft dysfunction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8"/>
        <w:gridCol w:w="3168"/>
        <w:gridCol w:w="1728"/>
        <w:gridCol w:w="2016"/>
        <w:gridCol w:w="2160"/>
        <w:gridCol w:w="1152"/>
      </w:tblGrid>
      <w:tr>
        <w:trPr>
          <w:trHeight w:val="340" w:hRule="atLeast"/>
          <w:jc w:val="center"/>
        </w:trPr>
        <w:tc>
          <w:tcPr>
            <w:tcW w:w="3168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Variable</w:t>
            </w:r>
          </w:p>
        </w:tc>
        <w:tc>
          <w:tcPr>
            <w:tcW w:w="3168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Scale / comparison</w:t>
            </w:r>
          </w:p>
        </w:tc>
        <w:tc>
          <w:tcPr>
            <w:tcW w:w="1728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No. of patients</w:t>
            </w:r>
          </w:p>
        </w:tc>
        <w:tc>
          <w:tcPr>
            <w:tcW w:w="2016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EAD events, n (%)</w:t>
            </w:r>
          </w:p>
        </w:tc>
        <w:tc>
          <w:tcPr>
            <w:tcW w:w="2160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OR (95% CI)</w:t>
            </w:r>
          </w:p>
        </w:tc>
        <w:tc>
          <w:tcPr>
            <w:tcW w:w="1152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P value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Continuous AUC below 36°C</w:t>
            </w:r>
          </w:p>
        </w:tc>
        <w:tc>
          <w:tcPr>
            <w:tcW w:w="3168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Per 10 °C·min increase</w:t>
            </w:r>
          </w:p>
        </w:tc>
        <w:tc>
          <w:tcPr>
            <w:tcW w:w="1728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513</w:t>
            </w:r>
          </w:p>
        </w:tc>
        <w:tc>
          <w:tcPr>
            <w:tcW w:w="2016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189</w:t>
            </w:r>
          </w:p>
        </w:tc>
        <w:tc>
          <w:tcPr>
            <w:tcW w:w="2160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1.05 (1.02–1.08)</w:t>
            </w:r>
          </w:p>
        </w:tc>
        <w:tc>
          <w:tcPr>
            <w:tcW w:w="1152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0.002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Continuous AUC below 36°C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Per 50 °C·min increase</w:t>
            </w:r>
          </w:p>
        </w:tc>
        <w:tc>
          <w:tcPr>
            <w:tcW w:w="172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513</w:t>
            </w:r>
          </w:p>
        </w:tc>
        <w:tc>
          <w:tcPr>
            <w:tcW w:w="201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189</w:t>
            </w:r>
          </w:p>
        </w:tc>
        <w:tc>
          <w:tcPr>
            <w:tcW w:w="21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1.28 (1.10–1.49)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0.002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Continuous AUC below 36°C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Per 1-SD increase (60.0 °C·min)</w:t>
            </w:r>
          </w:p>
        </w:tc>
        <w:tc>
          <w:tcPr>
            <w:tcW w:w="172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513</w:t>
            </w:r>
          </w:p>
        </w:tc>
        <w:tc>
          <w:tcPr>
            <w:tcW w:w="201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189</w:t>
            </w:r>
          </w:p>
        </w:tc>
        <w:tc>
          <w:tcPr>
            <w:tcW w:w="21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1.34 (1.12–1.62)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0.002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AUC tertiles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72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01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1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Tertile 1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0.00–1.83 °C·min</w:t>
            </w:r>
          </w:p>
        </w:tc>
        <w:tc>
          <w:tcPr>
            <w:tcW w:w="172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171</w:t>
            </w:r>
          </w:p>
        </w:tc>
        <w:tc>
          <w:tcPr>
            <w:tcW w:w="201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53 (31.0)</w:t>
            </w:r>
          </w:p>
        </w:tc>
        <w:tc>
          <w:tcPr>
            <w:tcW w:w="21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Reference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Tertile 2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2.00–34.00 °C·min</w:t>
            </w:r>
          </w:p>
        </w:tc>
        <w:tc>
          <w:tcPr>
            <w:tcW w:w="172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171</w:t>
            </w:r>
          </w:p>
        </w:tc>
        <w:tc>
          <w:tcPr>
            <w:tcW w:w="201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53 (31.0)</w:t>
            </w:r>
          </w:p>
        </w:tc>
        <w:tc>
          <w:tcPr>
            <w:tcW w:w="21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1.00 (0.63–1.58)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1.000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Tertile 3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34.50–522.50 °C·min</w:t>
            </w:r>
          </w:p>
        </w:tc>
        <w:tc>
          <w:tcPr>
            <w:tcW w:w="172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171</w:t>
            </w:r>
          </w:p>
        </w:tc>
        <w:tc>
          <w:tcPr>
            <w:tcW w:w="201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83 (48.5)</w:t>
            </w:r>
          </w:p>
        </w:tc>
        <w:tc>
          <w:tcPr>
            <w:tcW w:w="21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2.10 (1.35–3.27)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&lt;0.001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Overall P for AUC tertile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72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01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1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&lt;0.001</w:t>
            </w:r>
          </w:p>
        </w:tc>
      </w:tr>
      <w:tr>
        <w:trPr>
          <w:trHeight w:val="340" w:hRule="atLeast"/>
          <w:jc w:val="center"/>
        </w:trPr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P for trend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72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01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21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1.47 (1.17–1.83)</w:t>
            </w:r>
          </w:p>
        </w:tc>
        <w:tc>
          <w:tcPr>
            <w:tcW w:w="115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&lt;0.001</w:t>
            </w:r>
          </w:p>
        </w:tc>
      </w:tr>
    </w:tbl>
    <w:p>
      <w:pPr>
        <w:spacing w:before="60" w:after="0"/>
      </w:pPr>
      <w:r>
        <w:rPr>
          <w:sz w:val="16"/>
        </w:rPr>
        <w:t>Complete-case logistic regression; n=513, EAD events=189. Peri-reperfusion AUC below 36°C was calculated from portal vein clamping to 60 min after portal vein reperfusion using actual elapsed time between adjacent temperature measurements. ORs &gt;1 indicate higher odds of EAD with greater peri-reperfusion hypothermic burden. Abbreviations: AUC, area under the curve; CI, confidence interval; EAD, early allograft dysfunction; OR, odds ratio; SD, standard deviation.</w:t>
      </w:r>
    </w:p>
    <w:p>
      <w:r>
        <w:br w:type="page"/>
      </w:r>
    </w:p>
    <w:p>
      <w:pPr>
        <w:spacing w:before="0" w:after="80"/>
      </w:pPr>
      <w:r>
        <w:rPr>
          <w:b/>
          <w:sz w:val="20"/>
        </w:rPr>
        <w:t>Supplementary Table S6. Recipient and donor-graft-adjusted association between peri-reperfusion AUC below 36°C and early allograft dysfunction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8"/>
        <w:gridCol w:w="3600"/>
        <w:gridCol w:w="3168"/>
        <w:gridCol w:w="1440"/>
      </w:tblGrid>
      <w:tr>
        <w:trPr>
          <w:trHeight w:val="340" w:hRule="atLeast"/>
          <w:jc w:val="center"/>
        </w:trPr>
        <w:tc>
          <w:tcPr>
            <w:tcW w:w="4608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Variable</w:t>
            </w:r>
          </w:p>
        </w:tc>
        <w:tc>
          <w:tcPr>
            <w:tcW w:w="3600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Reference / scale</w:t>
            </w:r>
          </w:p>
        </w:tc>
        <w:tc>
          <w:tcPr>
            <w:tcW w:w="3168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Adjusted OR (95% CI)</w:t>
            </w:r>
          </w:p>
        </w:tc>
        <w:tc>
          <w:tcPr>
            <w:tcW w:w="1440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P value</w:t>
            </w:r>
          </w:p>
        </w:tc>
      </w:tr>
      <w:tr>
        <w:trPr>
          <w:trHeight w:val="340" w:hRule="atLeast"/>
          <w:jc w:val="center"/>
        </w:trPr>
        <w:tc>
          <w:tcPr>
            <w:tcW w:w="4608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Peri-reperfusion AUC below 36°C</w:t>
            </w:r>
          </w:p>
        </w:tc>
        <w:tc>
          <w:tcPr>
            <w:tcW w:w="3600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10 °C·min increase</w:t>
            </w:r>
          </w:p>
        </w:tc>
        <w:tc>
          <w:tcPr>
            <w:tcW w:w="3168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1.04 (1.01–1.07)</w:t>
            </w:r>
          </w:p>
        </w:tc>
        <w:tc>
          <w:tcPr>
            <w:tcW w:w="1440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0.020</w:t>
            </w:r>
          </w:p>
        </w:tc>
      </w:tr>
      <w:tr>
        <w:trPr>
          <w:trHeight w:val="340" w:hRule="atLeast"/>
          <w:jc w:val="center"/>
        </w:trPr>
        <w:tc>
          <w:tcPr>
            <w:tcW w:w="460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Age</w:t>
            </w:r>
          </w:p>
        </w:tc>
        <w:tc>
          <w:tcPr>
            <w:tcW w:w="360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1-year increase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1.03 (1.01–1.05)</w:t>
            </w:r>
          </w:p>
        </w:tc>
        <w:tc>
          <w:tcPr>
            <w:tcW w:w="144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0.003</w:t>
            </w:r>
          </w:p>
        </w:tc>
      </w:tr>
      <w:tr>
        <w:trPr>
          <w:trHeight w:val="340" w:hRule="atLeast"/>
          <w:jc w:val="center"/>
        </w:trPr>
        <w:tc>
          <w:tcPr>
            <w:tcW w:w="460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Male sex</w:t>
            </w:r>
          </w:p>
        </w:tc>
        <w:tc>
          <w:tcPr>
            <w:tcW w:w="360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Female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1.17 (0.72–1.89)</w:t>
            </w:r>
          </w:p>
        </w:tc>
        <w:tc>
          <w:tcPr>
            <w:tcW w:w="144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0.532</w:t>
            </w:r>
          </w:p>
        </w:tc>
      </w:tr>
      <w:tr>
        <w:trPr>
          <w:trHeight w:val="340" w:hRule="atLeast"/>
          <w:jc w:val="center"/>
        </w:trPr>
        <w:tc>
          <w:tcPr>
            <w:tcW w:w="460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MELD-Na</w:t>
            </w:r>
          </w:p>
        </w:tc>
        <w:tc>
          <w:tcPr>
            <w:tcW w:w="360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1-point increase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1.02 (1.00–1.04)</w:t>
            </w:r>
          </w:p>
        </w:tc>
        <w:tc>
          <w:tcPr>
            <w:tcW w:w="144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0.087</w:t>
            </w:r>
          </w:p>
        </w:tc>
      </w:tr>
      <w:tr>
        <w:trPr>
          <w:trHeight w:val="340" w:hRule="atLeast"/>
          <w:jc w:val="center"/>
        </w:trPr>
        <w:tc>
          <w:tcPr>
            <w:tcW w:w="460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Albumin</w:t>
            </w:r>
          </w:p>
        </w:tc>
        <w:tc>
          <w:tcPr>
            <w:tcW w:w="360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1-g/L increase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0.98 (0.95–1.01)</w:t>
            </w:r>
          </w:p>
        </w:tc>
        <w:tc>
          <w:tcPr>
            <w:tcW w:w="144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0.269</w:t>
            </w:r>
          </w:p>
        </w:tc>
      </w:tr>
      <w:tr>
        <w:trPr>
          <w:trHeight w:val="340" w:hRule="atLeast"/>
          <w:jc w:val="center"/>
        </w:trPr>
        <w:tc>
          <w:tcPr>
            <w:tcW w:w="460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DCD-related graft</w:t>
            </w:r>
          </w:p>
        </w:tc>
        <w:tc>
          <w:tcPr>
            <w:tcW w:w="360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DBD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1.65 (1.08–2.51)</w:t>
            </w:r>
          </w:p>
        </w:tc>
        <w:tc>
          <w:tcPr>
            <w:tcW w:w="144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0.020</w:t>
            </w:r>
          </w:p>
        </w:tc>
      </w:tr>
      <w:tr>
        <w:trPr>
          <w:trHeight w:val="340" w:hRule="atLeast"/>
          <w:jc w:val="center"/>
        </w:trPr>
        <w:tc>
          <w:tcPr>
            <w:tcW w:w="460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Living donor graft</w:t>
            </w:r>
          </w:p>
        </w:tc>
        <w:tc>
          <w:tcPr>
            <w:tcW w:w="360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DBD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1.38 (0.51–3.72)</w:t>
            </w:r>
          </w:p>
        </w:tc>
        <w:tc>
          <w:tcPr>
            <w:tcW w:w="144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0.522</w:t>
            </w:r>
          </w:p>
        </w:tc>
      </w:tr>
      <w:tr>
        <w:trPr>
          <w:trHeight w:val="340" w:hRule="atLeast"/>
          <w:jc w:val="center"/>
        </w:trPr>
        <w:tc>
          <w:tcPr>
            <w:tcW w:w="460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Cold ischemia time</w:t>
            </w:r>
          </w:p>
        </w:tc>
        <w:tc>
          <w:tcPr>
            <w:tcW w:w="360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60-min increase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1.11 (1.02–1.20)</w:t>
            </w:r>
          </w:p>
        </w:tc>
        <w:tc>
          <w:tcPr>
            <w:tcW w:w="144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0.011</w:t>
            </w:r>
          </w:p>
        </w:tc>
      </w:tr>
      <w:tr>
        <w:trPr>
          <w:trHeight w:val="340" w:hRule="atLeast"/>
          <w:jc w:val="center"/>
        </w:trPr>
        <w:tc>
          <w:tcPr>
            <w:tcW w:w="460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Donor liver steatosis</w:t>
            </w:r>
          </w:p>
        </w:tc>
        <w:tc>
          <w:tcPr>
            <w:tcW w:w="360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10% increase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1.38 (1.06–1.79)</w:t>
            </w:r>
          </w:p>
        </w:tc>
        <w:tc>
          <w:tcPr>
            <w:tcW w:w="144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0.017</w:t>
            </w:r>
          </w:p>
        </w:tc>
      </w:tr>
      <w:tr>
        <w:trPr>
          <w:trHeight w:val="340" w:hRule="atLeast"/>
          <w:jc w:val="center"/>
        </w:trPr>
        <w:tc>
          <w:tcPr>
            <w:tcW w:w="460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Global P for graft type</w:t>
            </w:r>
          </w:p>
        </w:tc>
        <w:tc>
          <w:tcPr>
            <w:tcW w:w="360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Likelihood-ratio test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0.061</w:t>
            </w:r>
          </w:p>
        </w:tc>
      </w:tr>
      <w:tr>
        <w:trPr>
          <w:trHeight w:val="340" w:hRule="atLeast"/>
          <w:jc w:val="center"/>
        </w:trPr>
        <w:tc>
          <w:tcPr>
            <w:tcW w:w="460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Global P for AUC below 36°C</w:t>
            </w:r>
          </w:p>
        </w:tc>
        <w:tc>
          <w:tcPr>
            <w:tcW w:w="360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Likelihood-ratio test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0.018</w:t>
            </w:r>
          </w:p>
        </w:tc>
      </w:tr>
    </w:tbl>
    <w:p>
      <w:pPr>
        <w:spacing w:before="60" w:after="0"/>
      </w:pPr>
      <w:r>
        <w:rPr>
          <w:sz w:val="16"/>
        </w:rPr>
        <w:t>Complete-case logistic regression; n=508, EAD events=188. The model adjusted for age, sex, MELD-Na, albumin, graft type, cold ischemia time, and donor liver steatosis. Peri-reperfusion AUC below 36°C was calculated from portal vein clamping to 60 min after portal vein reperfusion. Graft type was categorized as DBD, DCD-related (DCD + DBCD), and living donor, with DBD as the reference. Abbreviations: AUC, area under the curve; CI, confidence interval; DBCD, donation after brain and circulatory death; DBD, donation after brain death; DCD, donation after circulatory death; EAD, early allograft dysfunction; MELD-Na, Model for End-stage Liver Disease incorporating sodium; OR, odds ratio.</w:t>
      </w:r>
    </w:p>
    <w:p>
      <w:r>
        <w:br w:type="page"/>
      </w:r>
    </w:p>
    <w:p>
      <w:pPr>
        <w:spacing w:before="0" w:after="80"/>
      </w:pPr>
      <w:r>
        <w:rPr>
          <w:b/>
          <w:sz w:val="20"/>
        </w:rPr>
        <w:t>Supplementary Table S7. Fully adjusted association between peri-reperfusion AUC below 36°C and early allograft dysfunction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8"/>
        <w:gridCol w:w="3600"/>
        <w:gridCol w:w="3168"/>
        <w:gridCol w:w="1440"/>
      </w:tblGrid>
      <w:tr>
        <w:trPr>
          <w:trHeight w:val="340" w:hRule="atLeast"/>
          <w:jc w:val="center"/>
        </w:trPr>
        <w:tc>
          <w:tcPr>
            <w:tcW w:w="4608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Variable</w:t>
            </w:r>
          </w:p>
        </w:tc>
        <w:tc>
          <w:tcPr>
            <w:tcW w:w="3600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Reference / scale</w:t>
            </w:r>
          </w:p>
        </w:tc>
        <w:tc>
          <w:tcPr>
            <w:tcW w:w="3168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Adjusted OR (95% CI)</w:t>
            </w:r>
          </w:p>
        </w:tc>
        <w:tc>
          <w:tcPr>
            <w:tcW w:w="1440" w:type="dxa"/>
            <w:tcBorders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P value</w:t>
            </w:r>
          </w:p>
        </w:tc>
      </w:tr>
      <w:tr>
        <w:trPr>
          <w:trHeight w:val="340" w:hRule="atLeast"/>
          <w:jc w:val="center"/>
        </w:trPr>
        <w:tc>
          <w:tcPr>
            <w:tcW w:w="4608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Peri-reperfusion AUC below 36°C</w:t>
            </w:r>
          </w:p>
        </w:tc>
        <w:tc>
          <w:tcPr>
            <w:tcW w:w="3600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10 °C·min increase</w:t>
            </w:r>
          </w:p>
        </w:tc>
        <w:tc>
          <w:tcPr>
            <w:tcW w:w="3168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1.01 (0.98–1.05)</w:t>
            </w:r>
          </w:p>
        </w:tc>
        <w:tc>
          <w:tcPr>
            <w:tcW w:w="1440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0.458</w:t>
            </w:r>
          </w:p>
        </w:tc>
      </w:tr>
      <w:tr>
        <w:trPr>
          <w:trHeight w:val="340" w:hRule="atLeast"/>
          <w:jc w:val="center"/>
        </w:trPr>
        <w:tc>
          <w:tcPr>
            <w:tcW w:w="460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Age</w:t>
            </w:r>
          </w:p>
        </w:tc>
        <w:tc>
          <w:tcPr>
            <w:tcW w:w="360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1-year increase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1.03 (1.01–1.05)</w:t>
            </w:r>
          </w:p>
        </w:tc>
        <w:tc>
          <w:tcPr>
            <w:tcW w:w="144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0.006</w:t>
            </w:r>
          </w:p>
        </w:tc>
      </w:tr>
      <w:tr>
        <w:trPr>
          <w:trHeight w:val="340" w:hRule="atLeast"/>
          <w:jc w:val="center"/>
        </w:trPr>
        <w:tc>
          <w:tcPr>
            <w:tcW w:w="460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Male sex</w:t>
            </w:r>
          </w:p>
        </w:tc>
        <w:tc>
          <w:tcPr>
            <w:tcW w:w="360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Female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1.22 (0.73–2.04)</w:t>
            </w:r>
          </w:p>
        </w:tc>
        <w:tc>
          <w:tcPr>
            <w:tcW w:w="144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0.440</w:t>
            </w:r>
          </w:p>
        </w:tc>
      </w:tr>
      <w:tr>
        <w:trPr>
          <w:trHeight w:val="340" w:hRule="atLeast"/>
          <w:jc w:val="center"/>
        </w:trPr>
        <w:tc>
          <w:tcPr>
            <w:tcW w:w="460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MELD-Na</w:t>
            </w:r>
          </w:p>
        </w:tc>
        <w:tc>
          <w:tcPr>
            <w:tcW w:w="360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1-point increase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1.01 (0.99–1.04)</w:t>
            </w:r>
          </w:p>
        </w:tc>
        <w:tc>
          <w:tcPr>
            <w:tcW w:w="144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0.207</w:t>
            </w:r>
          </w:p>
        </w:tc>
      </w:tr>
      <w:tr>
        <w:trPr>
          <w:trHeight w:val="340" w:hRule="atLeast"/>
          <w:jc w:val="center"/>
        </w:trPr>
        <w:tc>
          <w:tcPr>
            <w:tcW w:w="460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Albumin</w:t>
            </w:r>
          </w:p>
        </w:tc>
        <w:tc>
          <w:tcPr>
            <w:tcW w:w="360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1-g/L increase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1.01 (0.97–1.04)</w:t>
            </w:r>
          </w:p>
        </w:tc>
        <w:tc>
          <w:tcPr>
            <w:tcW w:w="144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0.675</w:t>
            </w:r>
          </w:p>
        </w:tc>
      </w:tr>
      <w:tr>
        <w:trPr>
          <w:trHeight w:val="340" w:hRule="atLeast"/>
          <w:jc w:val="center"/>
        </w:trPr>
        <w:tc>
          <w:tcPr>
            <w:tcW w:w="460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DCD-related graft</w:t>
            </w:r>
          </w:p>
        </w:tc>
        <w:tc>
          <w:tcPr>
            <w:tcW w:w="360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DBD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1.91 (1.21–3.02)</w:t>
            </w:r>
          </w:p>
        </w:tc>
        <w:tc>
          <w:tcPr>
            <w:tcW w:w="144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0.005</w:t>
            </w:r>
          </w:p>
        </w:tc>
      </w:tr>
      <w:tr>
        <w:trPr>
          <w:trHeight w:val="340" w:hRule="atLeast"/>
          <w:jc w:val="center"/>
        </w:trPr>
        <w:tc>
          <w:tcPr>
            <w:tcW w:w="460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Living donor graft</w:t>
            </w:r>
          </w:p>
        </w:tc>
        <w:tc>
          <w:tcPr>
            <w:tcW w:w="360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DBD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1.15 (0.41–3.28)</w:t>
            </w:r>
          </w:p>
        </w:tc>
        <w:tc>
          <w:tcPr>
            <w:tcW w:w="144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0.788</w:t>
            </w:r>
          </w:p>
        </w:tc>
      </w:tr>
      <w:tr>
        <w:trPr>
          <w:trHeight w:val="340" w:hRule="atLeast"/>
          <w:jc w:val="center"/>
        </w:trPr>
        <w:tc>
          <w:tcPr>
            <w:tcW w:w="460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Cold ischemia time</w:t>
            </w:r>
          </w:p>
        </w:tc>
        <w:tc>
          <w:tcPr>
            <w:tcW w:w="360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60-min increase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1.03 (0.94–1.13)</w:t>
            </w:r>
          </w:p>
        </w:tc>
        <w:tc>
          <w:tcPr>
            <w:tcW w:w="144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0.474</w:t>
            </w:r>
          </w:p>
        </w:tc>
      </w:tr>
      <w:tr>
        <w:trPr>
          <w:trHeight w:val="340" w:hRule="atLeast"/>
          <w:jc w:val="center"/>
        </w:trPr>
        <w:tc>
          <w:tcPr>
            <w:tcW w:w="460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Donor liver steatosis</w:t>
            </w:r>
          </w:p>
        </w:tc>
        <w:tc>
          <w:tcPr>
            <w:tcW w:w="360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10% increase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1.31 (1.00–1.73)</w:t>
            </w:r>
          </w:p>
        </w:tc>
        <w:tc>
          <w:tcPr>
            <w:tcW w:w="144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0.053</w:t>
            </w:r>
          </w:p>
        </w:tc>
      </w:tr>
      <w:tr>
        <w:trPr>
          <w:trHeight w:val="340" w:hRule="atLeast"/>
          <w:jc w:val="center"/>
        </w:trPr>
        <w:tc>
          <w:tcPr>
            <w:tcW w:w="460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Duration of MAP &lt;65 mmHg</w:t>
            </w:r>
          </w:p>
        </w:tc>
        <w:tc>
          <w:tcPr>
            <w:tcW w:w="360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10-min increase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1.02 (1.00–1.05)</w:t>
            </w:r>
          </w:p>
        </w:tc>
        <w:tc>
          <w:tcPr>
            <w:tcW w:w="144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0.086</w:t>
            </w:r>
          </w:p>
        </w:tc>
      </w:tr>
      <w:tr>
        <w:trPr>
          <w:trHeight w:val="340" w:hRule="atLeast"/>
          <w:jc w:val="center"/>
        </w:trPr>
        <w:tc>
          <w:tcPr>
            <w:tcW w:w="460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Anhepatic phase duration</w:t>
            </w:r>
          </w:p>
        </w:tc>
        <w:tc>
          <w:tcPr>
            <w:tcW w:w="360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10-min increase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1.06 (0.92–1.22)</w:t>
            </w:r>
          </w:p>
        </w:tc>
        <w:tc>
          <w:tcPr>
            <w:tcW w:w="144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0.430</w:t>
            </w:r>
          </w:p>
        </w:tc>
      </w:tr>
      <w:tr>
        <w:trPr>
          <w:trHeight w:val="340" w:hRule="atLeast"/>
          <w:jc w:val="center"/>
        </w:trPr>
        <w:tc>
          <w:tcPr>
            <w:tcW w:w="460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Red blood cell transfusion</w:t>
            </w:r>
          </w:p>
        </w:tc>
        <w:tc>
          <w:tcPr>
            <w:tcW w:w="360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Per 1000-mL increase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1.69 (1.38–2.07)</w:t>
            </w:r>
          </w:p>
        </w:tc>
        <w:tc>
          <w:tcPr>
            <w:tcW w:w="144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  <w:t>&lt;0.001</w:t>
            </w:r>
          </w:p>
        </w:tc>
      </w:tr>
      <w:tr>
        <w:trPr>
          <w:trHeight w:val="340" w:hRule="atLeast"/>
          <w:jc w:val="center"/>
        </w:trPr>
        <w:tc>
          <w:tcPr>
            <w:tcW w:w="460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Global P for graft type</w:t>
            </w:r>
          </w:p>
        </w:tc>
        <w:tc>
          <w:tcPr>
            <w:tcW w:w="360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Likelihood-ratio test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0.019</w:t>
            </w:r>
          </w:p>
        </w:tc>
      </w:tr>
      <w:tr>
        <w:trPr>
          <w:trHeight w:val="340" w:hRule="atLeast"/>
          <w:jc w:val="center"/>
        </w:trPr>
        <w:tc>
          <w:tcPr>
            <w:tcW w:w="460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Global P for AUC below 36°C</w:t>
            </w:r>
          </w:p>
        </w:tc>
        <w:tc>
          <w:tcPr>
            <w:tcW w:w="360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Likelihood-ratio test</w:t>
            </w:r>
          </w:p>
        </w:tc>
        <w:tc>
          <w:tcPr>
            <w:tcW w:w="316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cs="Times New Roman Regular"/>
                <w:b/>
                <w:color w:val="auto"/>
                <w:sz w:val="16"/>
                <w:szCs w:val="16"/>
              </w:rPr>
              <w:t>0.456</w:t>
            </w:r>
          </w:p>
        </w:tc>
      </w:tr>
    </w:tbl>
    <w:p>
      <w:pPr>
        <w:spacing w:before="60" w:after="0"/>
      </w:pPr>
      <w:r>
        <w:rPr>
          <w:sz w:val="16"/>
        </w:rPr>
        <w:t>Complete-case logistic regression; n=505, EAD events=188. The fully adjusted model included age, sex, MELD-Na, albumin, graft type, cold ischemia time, donor liver steatosis, duration of MAP &lt;65 mmHg, anhepatic phase duration, red blood cell transfusion, and peri-reperfusion AUC below 36°C. Graft type was categorized as DBD, DCD-related (DCD + DBCD), and living donor, with DBD as the reference. Continuous variables are entered on the scales shown. Abbreviations: AUC, area under the curve; CI, confidence interval; DBCD, donation after brain and circulatory death; DBD, donation after brain death; DCD, donation after circulatory death; EAD, early allograft dysfunction; MAP, mean arterial pressure; MELD-Na, Model for End-stage Liver Disease incorporating sodium; OR, odds ratio.</w:t>
      </w:r>
    </w:p>
    <w:p>
      <w:r>
        <w:br w:type="page"/>
      </w:r>
    </w:p>
    <w:p>
      <w:pPr>
        <w:sectPr>
          <w:pgSz w:w="16834" w:h="11909" w:orient="landscape"/>
          <w:pgMar w:top="648" w:right="648" w:bottom="648" w:left="648" w:header="720" w:footer="720" w:gutter="0"/>
          <w:cols w:space="720" w:num="1"/>
          <w:docGrid w:linePitch="360" w:charSpace="0"/>
        </w:sectPr>
      </w:pPr>
    </w:p>
    <w:p>
      <w:pPr>
        <w:jc w:val="left"/>
      </w:pPr>
      <w:r>
        <w:rPr>
          <w:rFonts w:ascii="Times New Roman" w:hAnsi="Times New Roman" w:eastAsia="Times New Roman"/>
          <w:b/>
          <w:sz w:val="20"/>
        </w:rPr>
        <w:t>Supplementary Table S8. Secondary postoperative outcomes according to temperature trajectory class</w:t>
      </w:r>
    </w:p>
    <w:tbl>
      <w:tblPr>
        <w:tblStyle w:val="33"/>
        <w:tblW w:w="1500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1"/>
        <w:gridCol w:w="2219"/>
        <w:gridCol w:w="2066"/>
        <w:gridCol w:w="2066"/>
        <w:gridCol w:w="2066"/>
        <w:gridCol w:w="2067"/>
        <w:gridCol w:w="1225"/>
      </w:tblGrid>
      <w:tr>
        <w:trPr>
          <w:trHeight w:val="340" w:hRule="atLeast"/>
          <w:tblHeader/>
          <w:jc w:val="center"/>
        </w:trPr>
        <w:tc>
          <w:tcPr>
            <w:tcW w:w="3096" w:type="dxa"/>
            <w:tcBorders>
              <w:bottom w:val="single" w:color="auto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color w:val="auto"/>
                <w:sz w:val="16"/>
                <w:szCs w:val="16"/>
              </w:rPr>
              <w:t>Outcome</w:t>
            </w:r>
          </w:p>
        </w:tc>
        <w:tc>
          <w:tcPr>
            <w:tcW w:w="2088" w:type="dxa"/>
            <w:tcBorders>
              <w:bottom w:val="single" w:color="auto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color w:val="auto"/>
                <w:sz w:val="16"/>
                <w:szCs w:val="16"/>
              </w:rPr>
              <w:t>Overall</w:t>
            </w:r>
          </w:p>
        </w:tc>
        <w:tc>
          <w:tcPr>
            <w:tcW w:w="1944" w:type="dxa"/>
            <w:tcBorders>
              <w:bottom w:val="single" w:color="auto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color w:val="auto"/>
                <w:sz w:val="16"/>
                <w:szCs w:val="16"/>
              </w:rPr>
              <w:t>Class 1</w:t>
            </w:r>
          </w:p>
        </w:tc>
        <w:tc>
          <w:tcPr>
            <w:tcW w:w="1944" w:type="dxa"/>
            <w:tcBorders>
              <w:bottom w:val="single" w:color="auto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color w:val="auto"/>
                <w:sz w:val="16"/>
                <w:szCs w:val="16"/>
              </w:rPr>
              <w:t>Class 2</w:t>
            </w:r>
          </w:p>
        </w:tc>
        <w:tc>
          <w:tcPr>
            <w:tcW w:w="1944" w:type="dxa"/>
            <w:tcBorders>
              <w:bottom w:val="single" w:color="auto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color w:val="auto"/>
                <w:sz w:val="16"/>
                <w:szCs w:val="16"/>
              </w:rPr>
              <w:t>Class 3</w:t>
            </w:r>
          </w:p>
        </w:tc>
        <w:tc>
          <w:tcPr>
            <w:tcW w:w="1944" w:type="dxa"/>
            <w:tcBorders>
              <w:bottom w:val="single" w:color="auto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color w:val="auto"/>
                <w:sz w:val="16"/>
                <w:szCs w:val="16"/>
              </w:rPr>
              <w:t>Class 4</w:t>
            </w:r>
          </w:p>
        </w:tc>
        <w:tc>
          <w:tcPr>
            <w:tcW w:w="1152" w:type="dxa"/>
            <w:tcBorders>
              <w:bottom w:val="single" w:color="auto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color w:val="auto"/>
                <w:sz w:val="16"/>
                <w:szCs w:val="16"/>
              </w:rPr>
              <w:t>P value</w:t>
            </w:r>
          </w:p>
        </w:tc>
      </w:tr>
      <w:tr>
        <w:trPr>
          <w:trHeight w:val="340" w:hRule="atLeast"/>
          <w:jc w:val="center"/>
        </w:trPr>
        <w:tc>
          <w:tcPr>
            <w:tcW w:w="3096" w:type="dxa"/>
            <w:tcBorders>
              <w:top w:val="single" w:color="auto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AKI, n (%)</w:t>
            </w:r>
          </w:p>
        </w:tc>
        <w:tc>
          <w:tcPr>
            <w:tcW w:w="2088" w:type="dxa"/>
            <w:tcBorders>
              <w:top w:val="single" w:color="auto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200 (39.3)</w:t>
            </w:r>
          </w:p>
        </w:tc>
        <w:tc>
          <w:tcPr>
            <w:tcW w:w="1944" w:type="dxa"/>
            <w:tcBorders>
              <w:top w:val="single" w:color="auto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29 (49.2)</w:t>
            </w:r>
          </w:p>
        </w:tc>
        <w:tc>
          <w:tcPr>
            <w:tcW w:w="1944" w:type="dxa"/>
            <w:tcBorders>
              <w:top w:val="single" w:color="auto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55 (43.7)</w:t>
            </w:r>
          </w:p>
        </w:tc>
        <w:tc>
          <w:tcPr>
            <w:tcW w:w="1944" w:type="dxa"/>
            <w:tcBorders>
              <w:top w:val="single" w:color="auto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74 (40.7)</w:t>
            </w:r>
          </w:p>
        </w:tc>
        <w:tc>
          <w:tcPr>
            <w:tcW w:w="1944" w:type="dxa"/>
            <w:tcBorders>
              <w:top w:val="single" w:color="auto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42 (29.6)</w:t>
            </w:r>
          </w:p>
        </w:tc>
        <w:tc>
          <w:tcPr>
            <w:tcW w:w="1152" w:type="dxa"/>
            <w:tcBorders>
              <w:top w:val="single" w:color="auto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0.027</w:t>
            </w:r>
          </w:p>
        </w:tc>
      </w:tr>
      <w:tr>
        <w:trPr>
          <w:trHeight w:val="340" w:hRule="atLeast"/>
          <w:jc w:val="center"/>
        </w:trPr>
        <w:tc>
          <w:tcPr>
            <w:tcW w:w="3096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Postoperative renal replacement therapy, n (%)</w:t>
            </w:r>
          </w:p>
        </w:tc>
        <w:tc>
          <w:tcPr>
            <w:tcW w:w="2088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89 (17.2)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18 (29.5)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19 (15.0)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27 (14.4)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25 (17.5)</w:t>
            </w:r>
          </w:p>
        </w:tc>
        <w:tc>
          <w:tcPr>
            <w:tcW w:w="1152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0.047</w:t>
            </w:r>
          </w:p>
        </w:tc>
      </w:tr>
      <w:tr>
        <w:trPr>
          <w:trHeight w:val="340" w:hRule="atLeast"/>
          <w:jc w:val="center"/>
        </w:trPr>
        <w:tc>
          <w:tcPr>
            <w:tcW w:w="3096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Postoperative artificial liver therapy, n (%)</w:t>
            </w:r>
          </w:p>
        </w:tc>
        <w:tc>
          <w:tcPr>
            <w:tcW w:w="2088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17 (3.3)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8 (13.1)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3 (2.4)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4 (2.1)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2 (1.4)</w:t>
            </w:r>
          </w:p>
        </w:tc>
        <w:tc>
          <w:tcPr>
            <w:tcW w:w="1152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&lt;0.001</w:t>
            </w:r>
          </w:p>
        </w:tc>
      </w:tr>
      <w:tr>
        <w:trPr>
          <w:trHeight w:val="340" w:hRule="atLeast"/>
          <w:jc w:val="center"/>
        </w:trPr>
        <w:tc>
          <w:tcPr>
            <w:tcW w:w="3096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ICU length of stay, days</w:t>
            </w:r>
          </w:p>
        </w:tc>
        <w:tc>
          <w:tcPr>
            <w:tcW w:w="2088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3.0 (2.0–4.0)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4.0 (3.0–5.0)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3.0 (2.0–4.0)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3.0 (2.0–4.0)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3.0 (2.0–4.0)</w:t>
            </w:r>
          </w:p>
        </w:tc>
        <w:tc>
          <w:tcPr>
            <w:tcW w:w="1152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0.009</w:t>
            </w:r>
          </w:p>
        </w:tc>
      </w:tr>
      <w:tr>
        <w:trPr>
          <w:trHeight w:val="340" w:hRule="atLeast"/>
          <w:jc w:val="center"/>
        </w:trPr>
        <w:tc>
          <w:tcPr>
            <w:tcW w:w="3096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Hospital length of stay, days</w:t>
            </w:r>
          </w:p>
        </w:tc>
        <w:tc>
          <w:tcPr>
            <w:tcW w:w="2088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24.0 (18.0–35.0)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27.0 (18.0–42.0)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23.0 (16.0–32.0)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25.0 (18.0–34.0)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24.0 (19.0–37.5)</w:t>
            </w:r>
          </w:p>
        </w:tc>
        <w:tc>
          <w:tcPr>
            <w:tcW w:w="1152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0.158</w:t>
            </w:r>
          </w:p>
        </w:tc>
      </w:tr>
      <w:tr>
        <w:trPr>
          <w:trHeight w:val="340" w:hRule="atLeast"/>
          <w:jc w:val="center"/>
        </w:trPr>
        <w:tc>
          <w:tcPr>
            <w:tcW w:w="3096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Total hospitalization cost</w:t>
            </w:r>
          </w:p>
        </w:tc>
        <w:tc>
          <w:tcPr>
            <w:tcW w:w="2088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147519 (120506–191723)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167086 (143725–209469)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147404 (124836–190276)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148274 (119052–187472)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137758 (116743–193160)</w:t>
            </w:r>
          </w:p>
        </w:tc>
        <w:tc>
          <w:tcPr>
            <w:tcW w:w="1152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0.012</w:t>
            </w:r>
          </w:p>
        </w:tc>
      </w:tr>
      <w:tr>
        <w:trPr>
          <w:trHeight w:val="340" w:hRule="atLeast"/>
          <w:jc w:val="center"/>
        </w:trPr>
        <w:tc>
          <w:tcPr>
            <w:tcW w:w="3096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Reoperation, n (%)</w:t>
            </w:r>
          </w:p>
        </w:tc>
        <w:tc>
          <w:tcPr>
            <w:tcW w:w="2088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80 (16.2)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14 (23.7)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19 (15.4)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27 (15.4)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20 (14.7)</w:t>
            </w:r>
          </w:p>
        </w:tc>
        <w:tc>
          <w:tcPr>
            <w:tcW w:w="1152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0.422</w:t>
            </w:r>
          </w:p>
        </w:tc>
      </w:tr>
      <w:tr>
        <w:trPr>
          <w:trHeight w:val="340" w:hRule="atLeast"/>
          <w:jc w:val="center"/>
        </w:trPr>
        <w:tc>
          <w:tcPr>
            <w:tcW w:w="3096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30-day mortality, n (%)</w:t>
            </w:r>
          </w:p>
        </w:tc>
        <w:tc>
          <w:tcPr>
            <w:tcW w:w="2088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34 (6.6)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6 (9.8)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8 (6.3)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13 (7.0)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7 (4.9)</w:t>
            </w:r>
          </w:p>
        </w:tc>
        <w:tc>
          <w:tcPr>
            <w:tcW w:w="1152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0.620</w:t>
            </w:r>
          </w:p>
        </w:tc>
      </w:tr>
      <w:tr>
        <w:trPr>
          <w:trHeight w:val="340" w:hRule="atLeast"/>
          <w:jc w:val="center"/>
        </w:trPr>
        <w:tc>
          <w:tcPr>
            <w:tcW w:w="3096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90-day mortality, n (%)</w:t>
            </w:r>
          </w:p>
        </w:tc>
        <w:tc>
          <w:tcPr>
            <w:tcW w:w="2088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52 (10.0)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10 (16.4)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13 (10.2)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20 (10.7)</w:t>
            </w:r>
          </w:p>
        </w:tc>
        <w:tc>
          <w:tcPr>
            <w:tcW w:w="1944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9 (6.3)</w:t>
            </w:r>
          </w:p>
        </w:tc>
        <w:tc>
          <w:tcPr>
            <w:tcW w:w="1152" w:type="dxa"/>
            <w:tcBorders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auto"/>
                <w:sz w:val="16"/>
                <w:szCs w:val="16"/>
              </w:rPr>
              <w:t>0.169</w:t>
            </w:r>
          </w:p>
        </w:tc>
      </w:tr>
    </w:tbl>
    <w:p>
      <w:pPr>
        <w:spacing w:before="120" w:after="0"/>
      </w:pPr>
      <w:r>
        <w:rPr>
          <w:rFonts w:ascii="Times New Roman" w:hAnsi="Times New Roman" w:eastAsia="Times New Roman"/>
          <w:b/>
          <w:sz w:val="16"/>
        </w:rPr>
        <w:t xml:space="preserve">Notes: </w:t>
      </w:r>
      <w:r>
        <w:rPr>
          <w:rFonts w:ascii="Times New Roman" w:hAnsi="Times New Roman" w:eastAsia="Times New Roman"/>
          <w:sz w:val="16"/>
        </w:rPr>
        <w:t>Values are median (interquartile range) or n (%). Overall n=518; Class 1 n=61, Class 2 n=127, Class 3 n=187, Class 4 n=143. Overall P values were obtained using Kruskal–Wallis tests for continuous variables and chi-square tests for categorical variables. Trajectory classes are ordered from Class 4 to Class 1 according to increasing thermal severity. EAD is not repeated in this table because it was the primary outcome. Abbreviations: AKI, acute kidney injury; ICU, intensive care unit; IQR, interquartile range.</w:t>
      </w:r>
    </w:p>
    <w:p>
      <w:r>
        <w:br w:type="page"/>
      </w:r>
    </w:p>
    <w:p>
      <w:pPr>
        <w:sectPr>
          <w:pgSz w:w="15840" w:h="12240" w:orient="landscape"/>
          <w:pgMar w:top="864" w:right="792" w:bottom="864" w:left="792" w:header="720" w:footer="720" w:gutter="0"/>
          <w:cols w:space="720" w:num="1"/>
          <w:docGrid w:linePitch="360" w:charSpace="0"/>
        </w:sectPr>
      </w:pPr>
    </w:p>
    <w:p>
      <w:pPr>
        <w:jc w:val="left"/>
      </w:pPr>
      <w:r>
        <w:rPr>
          <w:rFonts w:ascii="Times New Roman" w:hAnsi="Times New Roman" w:eastAsia="Times New Roman"/>
          <w:b/>
          <w:sz w:val="20"/>
        </w:rPr>
        <w:t>Supplementary Table S9. Additional peri-reperfusion thermal burden metrics according to temperature trajectory class</w:t>
      </w:r>
    </w:p>
    <w:tbl>
      <w:tblPr>
        <w:tblStyle w:val="33"/>
        <w:tblW w:w="1540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5"/>
        <w:gridCol w:w="2087"/>
        <w:gridCol w:w="2087"/>
        <w:gridCol w:w="2087"/>
        <w:gridCol w:w="2087"/>
        <w:gridCol w:w="2087"/>
        <w:gridCol w:w="1080"/>
      </w:tblGrid>
      <w:tr>
        <w:trPr>
          <w:trHeight w:val="340" w:hRule="atLeast"/>
          <w:tblHeader/>
          <w:jc w:val="center"/>
        </w:trPr>
        <w:tc>
          <w:tcPr>
            <w:tcW w:w="388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color w:val="auto"/>
                <w:sz w:val="16"/>
                <w:szCs w:val="16"/>
              </w:rPr>
              <w:t>Thermal burden metric</w:t>
            </w:r>
          </w:p>
        </w:tc>
        <w:tc>
          <w:tcPr>
            <w:tcW w:w="208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color w:val="auto"/>
                <w:sz w:val="16"/>
                <w:szCs w:val="16"/>
              </w:rPr>
              <w:t>Overall</w:t>
            </w:r>
          </w:p>
        </w:tc>
        <w:tc>
          <w:tcPr>
            <w:tcW w:w="208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color w:val="auto"/>
                <w:sz w:val="16"/>
                <w:szCs w:val="16"/>
              </w:rPr>
              <w:t>Class 1</w:t>
            </w:r>
          </w:p>
        </w:tc>
        <w:tc>
          <w:tcPr>
            <w:tcW w:w="208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color w:val="auto"/>
                <w:sz w:val="16"/>
                <w:szCs w:val="16"/>
              </w:rPr>
              <w:t>Class 2</w:t>
            </w:r>
          </w:p>
        </w:tc>
        <w:tc>
          <w:tcPr>
            <w:tcW w:w="208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color w:val="auto"/>
                <w:sz w:val="16"/>
                <w:szCs w:val="16"/>
              </w:rPr>
              <w:t>Class 3</w:t>
            </w:r>
          </w:p>
        </w:tc>
        <w:tc>
          <w:tcPr>
            <w:tcW w:w="208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color w:val="auto"/>
                <w:sz w:val="16"/>
                <w:szCs w:val="16"/>
              </w:rPr>
              <w:t>Class 4</w:t>
            </w:r>
          </w:p>
        </w:tc>
        <w:tc>
          <w:tcPr>
            <w:tcW w:w="108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color w:val="auto"/>
                <w:sz w:val="16"/>
                <w:szCs w:val="16"/>
              </w:rPr>
              <w:t>P value</w:t>
            </w:r>
          </w:p>
        </w:tc>
      </w:tr>
      <w:tr>
        <w:trPr>
          <w:trHeight w:val="340" w:hRule="atLeast"/>
          <w:jc w:val="center"/>
        </w:trPr>
        <w:tc>
          <w:tcPr>
            <w:tcW w:w="388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AUC below 36°C, °C·min</w:t>
            </w:r>
          </w:p>
        </w:tc>
        <w:tc>
          <w:tcPr>
            <w:tcW w:w="208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11.94 (0.00–48.56)</w:t>
            </w:r>
          </w:p>
        </w:tc>
        <w:tc>
          <w:tcPr>
            <w:tcW w:w="208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151.75 (114.25–196.25)</w:t>
            </w:r>
          </w:p>
        </w:tc>
        <w:tc>
          <w:tcPr>
            <w:tcW w:w="208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52.00 (38.50–71.63)</w:t>
            </w:r>
          </w:p>
        </w:tc>
        <w:tc>
          <w:tcPr>
            <w:tcW w:w="208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9.00 (3.00–16.50)</w:t>
            </w:r>
          </w:p>
        </w:tc>
        <w:tc>
          <w:tcPr>
            <w:tcW w:w="208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0.00 (0.00–0.00)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&lt;0.001</w:t>
            </w:r>
          </w:p>
        </w:tc>
      </w:tr>
      <w:tr>
        <w:trPr>
          <w:trHeight w:val="340" w:hRule="atLeast"/>
          <w:jc w:val="center"/>
        </w:trPr>
        <w:tc>
          <w:tcPr>
            <w:tcW w:w="3888" w:type="dxa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Duration below 36°C, min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52.5 (0.0–100.0)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115.0 (105.0–125.0)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100.0 (90.0–110.0)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45.0 (20.0–60.0)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0.0 (0.0–0.0)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&lt;0.001</w:t>
            </w:r>
          </w:p>
        </w:tc>
      </w:tr>
      <w:tr>
        <w:trPr>
          <w:trHeight w:val="340" w:hRule="atLeast"/>
          <w:jc w:val="center"/>
        </w:trPr>
        <w:tc>
          <w:tcPr>
            <w:tcW w:w="3888" w:type="dxa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Peri-reperfusion nadir temperature, °C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35.5 (35.0–36.0)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34.1 (33.8–34.3)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35.0 (34.7–35.2)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35.6 (35.4–35.8)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36.2 (36.0–36.4)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&lt;0.001</w:t>
            </w:r>
          </w:p>
        </w:tc>
      </w:tr>
      <w:tr>
        <w:trPr>
          <w:trHeight w:val="340" w:hRule="atLeast"/>
          <w:jc w:val="center"/>
        </w:trPr>
        <w:tc>
          <w:tcPr>
            <w:tcW w:w="3888" w:type="dxa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Post-reperfusion 0–30 min nadir temperature, °C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35.5 (35.0–36.0)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34.1 (33.9–34.3)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35.0 (34.7–35.2)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35.6 (35.4–35.8)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36.3 (36.1–36.4)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&lt;0.001</w:t>
            </w:r>
          </w:p>
        </w:tc>
      </w:tr>
      <w:tr>
        <w:trPr>
          <w:trHeight w:val="340" w:hRule="atLeast"/>
          <w:jc w:val="center"/>
        </w:trPr>
        <w:tc>
          <w:tcPr>
            <w:tcW w:w="3888" w:type="dxa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Post-reperfusion 0–60 min nadir temperature, °C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35.5 (35.0–36.0)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34.1 (33.9–34.3)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35.0 (34.7–35.2)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35.6 (35.4–35.8)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36.2 (36.0–36.4)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&lt;0.001</w:t>
            </w:r>
          </w:p>
        </w:tc>
      </w:tr>
      <w:tr>
        <w:trPr>
          <w:trHeight w:val="340" w:hRule="atLeast"/>
          <w:jc w:val="center"/>
        </w:trPr>
        <w:tc>
          <w:tcPr>
            <w:tcW w:w="3888" w:type="dxa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Mean temperature during 30 min before reperfusion, °C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35.9 (35.5–36.4)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34.6 (34.4–34.9)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35.5 (35.3–35.6)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36.0 (35.9–36.2)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36.5 (36.4–36.7)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&lt;0.001</w:t>
            </w:r>
          </w:p>
        </w:tc>
      </w:tr>
      <w:tr>
        <w:trPr>
          <w:trHeight w:val="340" w:hRule="atLeast"/>
          <w:jc w:val="center"/>
        </w:trPr>
        <w:tc>
          <w:tcPr>
            <w:tcW w:w="3888" w:type="dxa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Maximum temperature drop from pre-reperfusion mean to post-reperfusion nadir, °C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0.40 (0.23–0.60)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0.56 (0.37–0.74)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0.45 (0.26–0.63)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0.38 (0.24–0.60)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0.33 (0.17–0.44)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color w:val="auto"/>
                <w:sz w:val="16"/>
                <w:szCs w:val="16"/>
              </w:rPr>
              <w:t>&lt;0.001</w:t>
            </w:r>
          </w:p>
        </w:tc>
      </w:tr>
    </w:tbl>
    <w:p>
      <w:pPr>
        <w:spacing w:before="100" w:after="0"/>
      </w:pPr>
      <w:r>
        <w:rPr>
          <w:rFonts w:ascii="Times New Roman" w:hAnsi="Times New Roman" w:eastAsia="Times New Roman"/>
          <w:b/>
          <w:sz w:val="16"/>
        </w:rPr>
        <w:t xml:space="preserve">Notes: </w:t>
      </w:r>
      <w:r>
        <w:rPr>
          <w:rFonts w:ascii="Times New Roman" w:hAnsi="Times New Roman" w:eastAsia="Times New Roman"/>
          <w:b w:val="0"/>
          <w:sz w:val="16"/>
        </w:rPr>
        <w:t>Values are median (interquartile range). Overall n=518; Class 1 n=61, Class 2 n=127, Class 3 n=187, Class 4 n=143. Overall P values were obtained using Kruskal–Wallis tests. The peri-reperfusion period was defined as the interval from portal vein clamping to 60 min after portal vein reperfusion. Trajectory classes are ordered from Class 4 to Class 1 according to increasing thermal severity. Abbreviations: AUC, area under the curve; IQR, interquartile range.</w:t>
      </w:r>
    </w:p>
    <w:p>
      <w:r>
        <w:br w:type="page"/>
      </w:r>
    </w:p>
    <w:p>
      <w:pPr>
        <w:sectPr>
          <w:pgSz w:w="15840" w:h="12240" w:orient="landscape"/>
          <w:pgMar w:top="792" w:right="648" w:bottom="792" w:left="648" w:header="720" w:footer="720" w:gutter="0"/>
          <w:cols w:space="720" w:num="1"/>
          <w:docGrid w:linePitch="360" w:charSpace="0"/>
        </w:sectPr>
      </w:pPr>
    </w:p>
    <w:p>
      <w:pPr>
        <w:jc w:val="left"/>
      </w:pPr>
      <w:r>
        <w:rPr>
          <w:rFonts w:ascii="Times New Roman" w:hAnsi="Times New Roman" w:eastAsia="Times New Roman"/>
          <w:b/>
          <w:sz w:val="20"/>
        </w:rPr>
        <w:t>Supplementary Table S10. Sensitivity analysis using a binary high hypothermic-burden trajectory definition</w:t>
      </w:r>
    </w:p>
    <w:p>
      <w:pPr>
        <w:spacing w:after="80"/>
      </w:pPr>
      <w:r>
        <w:rPr>
          <w:rFonts w:ascii="Times New Roman" w:hAnsi="Times New Roman" w:eastAsia="Times New Roman"/>
          <w:b w:val="0"/>
          <w:sz w:val="16"/>
        </w:rPr>
        <w:t>Exposure: high hypothermic-burden trajectory (Class 1 + Class 2) versus lower hypothermic-burden trajectory (Class 3 + Class 4). Outcome: early allograft dysfunction.</w:t>
      </w:r>
    </w:p>
    <w:tbl>
      <w:tblPr>
        <w:tblStyle w:val="33"/>
        <w:tblW w:w="1500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6137"/>
        <w:gridCol w:w="1643"/>
        <w:gridCol w:w="1636"/>
        <w:gridCol w:w="2973"/>
        <w:gridCol w:w="1175"/>
      </w:tblGrid>
      <w:tr>
        <w:trPr>
          <w:trHeight w:val="340" w:hRule="atLeast"/>
          <w:tblHeader/>
          <w:jc w:val="center"/>
        </w:trPr>
        <w:tc>
          <w:tcPr>
            <w:tcW w:w="151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/>
                <w:color w:val="auto"/>
                <w:sz w:val="16"/>
                <w:szCs w:val="16"/>
              </w:rPr>
              <w:t>Model</w:t>
            </w:r>
          </w:p>
        </w:tc>
        <w:tc>
          <w:tcPr>
            <w:tcW w:w="662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/>
                <w:color w:val="auto"/>
                <w:sz w:val="16"/>
                <w:szCs w:val="16"/>
              </w:rPr>
              <w:t>Adjustment</w:t>
            </w:r>
          </w:p>
        </w:tc>
        <w:tc>
          <w:tcPr>
            <w:tcW w:w="172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/>
                <w:color w:val="auto"/>
                <w:sz w:val="16"/>
                <w:szCs w:val="16"/>
              </w:rPr>
              <w:t>No. of patients</w:t>
            </w:r>
          </w:p>
        </w:tc>
        <w:tc>
          <w:tcPr>
            <w:tcW w:w="172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/>
                <w:color w:val="auto"/>
                <w:sz w:val="16"/>
                <w:szCs w:val="16"/>
              </w:rPr>
              <w:t>EAD events, n</w:t>
            </w:r>
          </w:p>
        </w:tc>
        <w:tc>
          <w:tcPr>
            <w:tcW w:w="316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/>
                <w:color w:val="auto"/>
                <w:sz w:val="16"/>
                <w:szCs w:val="16"/>
              </w:rPr>
              <w:t>OR / adjusted OR (95% CI)</w:t>
            </w:r>
          </w:p>
        </w:tc>
        <w:tc>
          <w:tcPr>
            <w:tcW w:w="122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/>
                <w:color w:val="auto"/>
                <w:sz w:val="16"/>
                <w:szCs w:val="16"/>
              </w:rPr>
              <w:t>P value</w:t>
            </w:r>
          </w:p>
        </w:tc>
      </w:tr>
      <w:tr>
        <w:trPr>
          <w:trHeight w:val="340" w:hRule="atLeast"/>
          <w:jc w:val="center"/>
        </w:trPr>
        <w:tc>
          <w:tcPr>
            <w:tcW w:w="151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16"/>
                <w:szCs w:val="16"/>
              </w:rPr>
              <w:t>Model 1</w:t>
            </w:r>
          </w:p>
        </w:tc>
        <w:tc>
          <w:tcPr>
            <w:tcW w:w="662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16"/>
                <w:szCs w:val="16"/>
              </w:rPr>
              <w:t>Unadjusted</w:t>
            </w:r>
          </w:p>
        </w:tc>
        <w:tc>
          <w:tcPr>
            <w:tcW w:w="172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16"/>
                <w:szCs w:val="16"/>
              </w:rPr>
              <w:t>513</w:t>
            </w:r>
          </w:p>
        </w:tc>
        <w:tc>
          <w:tcPr>
            <w:tcW w:w="172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16"/>
                <w:szCs w:val="16"/>
              </w:rPr>
              <w:t>189</w:t>
            </w:r>
          </w:p>
        </w:tc>
        <w:tc>
          <w:tcPr>
            <w:tcW w:w="316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16"/>
                <w:szCs w:val="16"/>
              </w:rPr>
              <w:t>2.01 (1.39–2.91)</w:t>
            </w:r>
          </w:p>
        </w:tc>
        <w:tc>
          <w:tcPr>
            <w:tcW w:w="122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16"/>
                <w:szCs w:val="16"/>
              </w:rPr>
              <w:t>&lt;0.001</w:t>
            </w:r>
          </w:p>
        </w:tc>
      </w:tr>
      <w:tr>
        <w:trPr>
          <w:trHeight w:val="340" w:hRule="atLeast"/>
          <w:jc w:val="center"/>
        </w:trPr>
        <w:tc>
          <w:tcPr>
            <w:tcW w:w="1512" w:type="dxa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16"/>
                <w:szCs w:val="16"/>
              </w:rPr>
              <w:t>Model 2</w:t>
            </w:r>
          </w:p>
        </w:tc>
        <w:tc>
          <w:tcPr>
            <w:tcW w:w="6624" w:type="dxa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16"/>
                <w:szCs w:val="16"/>
              </w:rPr>
              <w:t>Model 1 + recipient factors</w:t>
            </w:r>
          </w:p>
        </w:tc>
        <w:tc>
          <w:tcPr>
            <w:tcW w:w="172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16"/>
                <w:szCs w:val="16"/>
              </w:rPr>
              <w:t>508</w:t>
            </w:r>
          </w:p>
        </w:tc>
        <w:tc>
          <w:tcPr>
            <w:tcW w:w="172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16"/>
                <w:szCs w:val="16"/>
              </w:rPr>
              <w:t>188</w:t>
            </w:r>
          </w:p>
        </w:tc>
        <w:tc>
          <w:tcPr>
            <w:tcW w:w="316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16"/>
                <w:szCs w:val="16"/>
              </w:rPr>
              <w:t>1.98 (1.36–2.89)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16"/>
                <w:szCs w:val="16"/>
              </w:rPr>
              <w:t>&lt;0.001</w:t>
            </w:r>
          </w:p>
        </w:tc>
      </w:tr>
      <w:tr>
        <w:trPr>
          <w:trHeight w:val="340" w:hRule="atLeast"/>
          <w:jc w:val="center"/>
        </w:trPr>
        <w:tc>
          <w:tcPr>
            <w:tcW w:w="1512" w:type="dxa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16"/>
                <w:szCs w:val="16"/>
              </w:rPr>
              <w:t>Model 3</w:t>
            </w:r>
          </w:p>
        </w:tc>
        <w:tc>
          <w:tcPr>
            <w:tcW w:w="6624" w:type="dxa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16"/>
                <w:szCs w:val="16"/>
              </w:rPr>
              <w:t>Model 2 + donor–graft factors</w:t>
            </w:r>
          </w:p>
        </w:tc>
        <w:tc>
          <w:tcPr>
            <w:tcW w:w="172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16"/>
                <w:szCs w:val="16"/>
              </w:rPr>
              <w:t>508</w:t>
            </w:r>
          </w:p>
        </w:tc>
        <w:tc>
          <w:tcPr>
            <w:tcW w:w="172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16"/>
                <w:szCs w:val="16"/>
              </w:rPr>
              <w:t>188</w:t>
            </w:r>
          </w:p>
        </w:tc>
        <w:tc>
          <w:tcPr>
            <w:tcW w:w="316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16"/>
                <w:szCs w:val="16"/>
              </w:rPr>
              <w:t>1.77 (1.19–2.62)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16"/>
                <w:szCs w:val="16"/>
              </w:rPr>
              <w:t>0.005</w:t>
            </w:r>
          </w:p>
        </w:tc>
      </w:tr>
      <w:tr>
        <w:trPr>
          <w:trHeight w:val="340" w:hRule="atLeast"/>
          <w:jc w:val="center"/>
        </w:trPr>
        <w:tc>
          <w:tcPr>
            <w:tcW w:w="1512" w:type="dxa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16"/>
                <w:szCs w:val="16"/>
              </w:rPr>
              <w:t>Model 4</w:t>
            </w:r>
          </w:p>
        </w:tc>
        <w:tc>
          <w:tcPr>
            <w:tcW w:w="6624" w:type="dxa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16"/>
                <w:szCs w:val="16"/>
              </w:rPr>
              <w:t>Model 3 + intraoperative stress factors</w:t>
            </w:r>
          </w:p>
        </w:tc>
        <w:tc>
          <w:tcPr>
            <w:tcW w:w="172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16"/>
                <w:szCs w:val="16"/>
              </w:rPr>
              <w:t>505</w:t>
            </w:r>
          </w:p>
        </w:tc>
        <w:tc>
          <w:tcPr>
            <w:tcW w:w="172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16"/>
                <w:szCs w:val="16"/>
              </w:rPr>
              <w:t>188</w:t>
            </w:r>
          </w:p>
        </w:tc>
        <w:tc>
          <w:tcPr>
            <w:tcW w:w="316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16"/>
                <w:szCs w:val="16"/>
              </w:rPr>
              <w:t>1.52 (1.00–2.32)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16"/>
                <w:szCs w:val="16"/>
              </w:rPr>
              <w:t>0.050</w:t>
            </w:r>
          </w:p>
        </w:tc>
      </w:tr>
    </w:tbl>
    <w:p>
      <w:pPr>
        <w:spacing w:before="120" w:after="0"/>
      </w:pPr>
      <w:r>
        <w:rPr>
          <w:rFonts w:ascii="Times New Roman" w:hAnsi="Times New Roman" w:eastAsia="Times New Roman"/>
          <w:b/>
          <w:sz w:val="16"/>
        </w:rPr>
        <w:t xml:space="preserve">Notes: </w:t>
      </w:r>
      <w:r>
        <w:rPr>
          <w:rFonts w:ascii="Times New Roman" w:hAnsi="Times New Roman" w:eastAsia="Times New Roman"/>
          <w:b w:val="0"/>
          <w:sz w:val="16"/>
        </w:rPr>
        <w:t>High hypothermic-burden trajectory was defined as Class 1 + Class 2; lower hypothermic-burden trajectory was defined as Class 3 + Class 4. In the unadjusted complete-case sample, the high hypothermic-burden group included 186 patients with 88 EAD events, and the lower hypothermic-burden group included 327 patients with 101 EAD events. Model 2 adjusted for recipient factors: age, sex, MELD-Na, and albumin. Model 3 further adjusted for donor–graft factors: graft type, cold ischemia time, and donor liver steatosis. Model 4 further adjusted for intraoperative stress factors: duration of MAP &lt;65 mmHg, anhepatic phase duration, and red blood cell transfusion. ORs &gt;1 indicate higher odds of EAD for the high hypothermic-burden group compared with the lower hypothermic-burden group. Abbreviations: CI, confidence interval; EAD, early allograft dysfunction; MAP, mean arterial pressure; MELD-Na, Model for End-stage Liver Disease incorporating sodium; OR,</w:t>
      </w:r>
      <w:bookmarkStart w:id="0" w:name="_GoBack"/>
      <w:bookmarkEnd w:id="0"/>
      <w:r>
        <w:rPr>
          <w:rFonts w:ascii="Times New Roman" w:hAnsi="Times New Roman" w:eastAsia="Times New Roman"/>
          <w:b w:val="0"/>
          <w:sz w:val="16"/>
        </w:rPr>
        <w:t xml:space="preserve"> odds ratio.</w:t>
      </w:r>
    </w:p>
    <w:sectPr>
      <w:pgSz w:w="15840" w:h="12240" w:orient="landscape"/>
      <w:pgMar w:top="864" w:right="792" w:bottom="864" w:left="792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l Nile Regular">
    <w:panose1 w:val="00000400000000000000"/>
    <w:charset w:val="00"/>
    <w:family w:val="auto"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9DEFCF48"/>
    <w:rsid w:val="B776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eastAsia="Arial" w:cstheme="minorBidi"/>
      <w:sz w:val="18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Office_6.5.0.8619_F1E327BC-269C-435d-A152-05C5408002CA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2013-12-24T01:15:00Z</dcterms:created>
  <dc:creator>python-docx</dc:creator>
  <dc:description>generated by python-docx</dc:description>
  <cp:lastModifiedBy>jing</cp:lastModifiedBy>
  <dcterms:modified xsi:type="dcterms:W3CDTF">2026-05-21T16:55:16Z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2052-6.5.0.8619</vt:lpwstr>
  </property>
  <property fmtid="{D5CDD505-2E9C-101B-9397-08002B2CF9AE}" pid="3" name="ICV">
    <vt:lpwstr>4BEF0BF8576AEAD5C40E0F6ADAB32A3E_43</vt:lpwstr>
  </property>
</Properties>
</file>