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08501" w14:textId="77777777" w:rsidR="00CA78C3" w:rsidRPr="00E752FF" w:rsidRDefault="00CA78C3" w:rsidP="00CA78C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827651">
        <w:rPr>
          <w:rFonts w:ascii="Arial" w:hAnsi="Arial" w:cs="Arial"/>
          <w:b/>
          <w:sz w:val="22"/>
          <w:szCs w:val="22"/>
          <w:lang w:val="en-US"/>
        </w:rPr>
        <w:t>S</w:t>
      </w:r>
      <w:r w:rsidRPr="00E752FF">
        <w:rPr>
          <w:rFonts w:ascii="Arial" w:hAnsi="Arial" w:cs="Arial"/>
          <w:b/>
          <w:bCs/>
          <w:sz w:val="22"/>
          <w:szCs w:val="22"/>
          <w:lang w:val="en-US"/>
        </w:rPr>
        <w:t>upplementary material</w:t>
      </w:r>
    </w:p>
    <w:p w14:paraId="460B5CAB" w14:textId="77777777" w:rsidR="00CA78C3" w:rsidRPr="00E752FF" w:rsidRDefault="00CA78C3" w:rsidP="00CA78C3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3CEED5C7" w14:textId="77777777" w:rsidR="00CA78C3" w:rsidRPr="00E752FF" w:rsidRDefault="00CA78C3" w:rsidP="00CA78C3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Supplementary </w:t>
      </w:r>
      <w:r w:rsidRPr="00E752FF">
        <w:rPr>
          <w:rFonts w:ascii="Arial" w:hAnsi="Arial" w:cs="Arial"/>
          <w:b/>
          <w:bCs/>
          <w:sz w:val="22"/>
          <w:szCs w:val="22"/>
          <w:lang w:val="en-US"/>
        </w:rPr>
        <w:t>Figure 1</w:t>
      </w:r>
      <w:r w:rsidRPr="00E752FF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: </w:t>
      </w:r>
      <w:r w:rsidRPr="00E752FF">
        <w:rPr>
          <w:rFonts w:ascii="Arial" w:hAnsi="Arial" w:cs="Arial"/>
          <w:b/>
          <w:bCs/>
          <w:sz w:val="22"/>
          <w:szCs w:val="22"/>
          <w:lang w:val="en-US"/>
        </w:rPr>
        <w:t>Systemic and tissue-specific modulation of tryptophan levels</w:t>
      </w:r>
    </w:p>
    <w:p w14:paraId="318BFBFA" w14:textId="77777777" w:rsidR="00CA78C3" w:rsidRPr="00E752FF" w:rsidRDefault="00CA78C3" w:rsidP="00CA78C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E752FF">
        <w:rPr>
          <w:rStyle w:val="Strong"/>
          <w:rFonts w:ascii="Arial" w:hAnsi="Arial" w:cs="Arial"/>
          <w:b w:val="0"/>
          <w:bCs w:val="0"/>
          <w:sz w:val="22"/>
          <w:szCs w:val="22"/>
          <w:lang w:val="en-US"/>
        </w:rPr>
        <w:t>(A)</w:t>
      </w:r>
      <w:r w:rsidRPr="00E752FF">
        <w:rPr>
          <w:rFonts w:ascii="Arial" w:hAnsi="Arial" w:cs="Arial"/>
          <w:sz w:val="22"/>
          <w:szCs w:val="22"/>
          <w:lang w:val="en-US"/>
        </w:rPr>
        <w:t xml:space="preserve"> Plasma Trp levels over time in control and Trp-low groups (n = 9 per group). Red arrows indicate Trp supplementation in mice receiving the Trp-low mice. Mixed-effects two-way ANOVA; *p &lt; 0.05, ***p &lt; 0.001. </w:t>
      </w:r>
      <w:r w:rsidRPr="00E752FF">
        <w:rPr>
          <w:rStyle w:val="Strong"/>
          <w:rFonts w:ascii="Arial" w:hAnsi="Arial" w:cs="Arial"/>
          <w:b w:val="0"/>
          <w:bCs w:val="0"/>
          <w:sz w:val="22"/>
          <w:szCs w:val="22"/>
          <w:lang w:val="en-US"/>
        </w:rPr>
        <w:t>(B)</w:t>
      </w:r>
      <w:r w:rsidRPr="00E752FF">
        <w:rPr>
          <w:rFonts w:ascii="Arial" w:hAnsi="Arial" w:cs="Arial"/>
          <w:sz w:val="22"/>
          <w:szCs w:val="22"/>
          <w:lang w:val="en-US"/>
        </w:rPr>
        <w:t xml:space="preserve"> Trp abundance in gut content, skin and hippocampus after 3 weeks of diet. Females only; n = 18 (GC and skin) and 13 (hippocampus) per group; pooled from 4 and 2 independent experiments respectively. Unpaired t-test. (C) Trp abundance in gut content (left) n= 23-25 and brainstem (right) n = 18 after 4 weeks of diet. Females only; pooled from 4 and 2 independent experiments respectively Unpaired t-test. (D) Trp levels in plasma, skin and gut content of males after 3 and 4 weeks of diet. n = 3–7.  Kruskal–Wallis test. (E) Heatmap of selected skin metabolites after 3 weeks of control or Trp-low diet. Z-scores calculated by centering and scaling intensities across all samples. Color scale indicates relative abundance (red: higher than mean; blue: lower than mean). </w:t>
      </w:r>
      <w:r w:rsidRPr="00E752FF">
        <w:rPr>
          <w:rStyle w:val="Strong"/>
          <w:rFonts w:ascii="Arial" w:hAnsi="Arial" w:cs="Arial"/>
          <w:b w:val="0"/>
          <w:bCs w:val="0"/>
          <w:sz w:val="22"/>
          <w:szCs w:val="22"/>
          <w:lang w:val="en-US"/>
        </w:rPr>
        <w:t>(F)</w:t>
      </w:r>
      <w:r w:rsidRPr="00E752FF">
        <w:rPr>
          <w:rFonts w:ascii="Arial" w:hAnsi="Arial" w:cs="Arial"/>
          <w:sz w:val="22"/>
          <w:szCs w:val="22"/>
          <w:lang w:val="en-US"/>
        </w:rPr>
        <w:t xml:space="preserve"> PCA of Trp metabolites in gut content (left) and plasma (right). Pooled data from 4 independent experiments at weeks 3 and 4 (females only; N = 75). Centered log-transformed data. </w:t>
      </w:r>
      <w:r w:rsidRPr="00E752FF">
        <w:rPr>
          <w:rStyle w:val="Strong"/>
          <w:rFonts w:ascii="Arial" w:hAnsi="Arial" w:cs="Arial"/>
          <w:b w:val="0"/>
          <w:bCs w:val="0"/>
          <w:sz w:val="22"/>
          <w:szCs w:val="22"/>
          <w:lang w:val="en-US"/>
        </w:rPr>
        <w:t>(G)</w:t>
      </w:r>
      <w:r w:rsidRPr="00E752FF">
        <w:rPr>
          <w:rFonts w:ascii="Arial" w:hAnsi="Arial" w:cs="Arial"/>
          <w:sz w:val="22"/>
          <w:szCs w:val="22"/>
          <w:lang w:val="en-US"/>
        </w:rPr>
        <w:t xml:space="preserve"> Absolute quantification of selected host- (QA, kynurenine, PA, 5-HIAA) and microbial-derived (IAM, ILA) Trp metabolites in gut content after 4 weeks of diet. Females only; n = 19 per group form 3 independent experiments. Unpaired t-test.</w:t>
      </w:r>
    </w:p>
    <w:p w14:paraId="624E60A3" w14:textId="77777777" w:rsidR="00CA78C3" w:rsidRPr="00E752FF" w:rsidRDefault="00CA78C3" w:rsidP="00CA78C3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73DE3D9B" w14:textId="77777777" w:rsidR="00CA78C3" w:rsidRPr="00E752FF" w:rsidRDefault="00CA78C3" w:rsidP="00CA78C3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FEE4ED5" w14:textId="77777777" w:rsidR="00CA78C3" w:rsidRPr="00E752FF" w:rsidRDefault="00CA78C3" w:rsidP="00CA78C3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Supplementary </w:t>
      </w:r>
      <w:r w:rsidRPr="00E752FF">
        <w:rPr>
          <w:rFonts w:ascii="Arial" w:hAnsi="Arial" w:cs="Arial"/>
          <w:b/>
          <w:bCs/>
          <w:sz w:val="22"/>
          <w:szCs w:val="22"/>
          <w:lang w:val="en-US"/>
        </w:rPr>
        <w:t>Figure 2</w:t>
      </w:r>
      <w:r>
        <w:rPr>
          <w:rFonts w:ascii="Arial" w:hAnsi="Arial" w:cs="Arial"/>
          <w:b/>
          <w:bCs/>
          <w:sz w:val="22"/>
          <w:szCs w:val="22"/>
          <w:lang w:val="en-US"/>
        </w:rPr>
        <w:t>:</w:t>
      </w:r>
      <w:r w:rsidRPr="00E752FF">
        <w:rPr>
          <w:rFonts w:ascii="Arial" w:hAnsi="Arial" w:cs="Arial"/>
          <w:b/>
          <w:bCs/>
          <w:sz w:val="22"/>
          <w:szCs w:val="22"/>
          <w:lang w:val="en-US"/>
        </w:rPr>
        <w:t xml:space="preserve"> Skin morphology and immune profiling</w:t>
      </w:r>
    </w:p>
    <w:p w14:paraId="64530E07" w14:textId="77777777" w:rsidR="00CA78C3" w:rsidRPr="00E752FF" w:rsidRDefault="00CA78C3" w:rsidP="00CA78C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E752FF">
        <w:rPr>
          <w:rStyle w:val="Strong"/>
          <w:rFonts w:ascii="Arial" w:hAnsi="Arial" w:cs="Arial"/>
          <w:b w:val="0"/>
          <w:bCs w:val="0"/>
          <w:sz w:val="22"/>
          <w:szCs w:val="22"/>
          <w:lang w:val="en-US"/>
        </w:rPr>
        <w:t>(A)</w:t>
      </w:r>
      <w:r w:rsidRPr="00E752FF">
        <w:rPr>
          <w:rFonts w:ascii="Arial" w:hAnsi="Arial" w:cs="Arial"/>
          <w:sz w:val="22"/>
          <w:szCs w:val="22"/>
          <w:lang w:val="en-US"/>
        </w:rPr>
        <w:t xml:space="preserve"> Epidermal thickness measured on histological sections after 3 to 4 weeks of diet. Each dot represents one mouse (mean of 8 measurement points), with mean +/-SEM. n = 10 per group. Unpaired t-test. </w:t>
      </w:r>
      <w:r w:rsidRPr="00E752FF">
        <w:rPr>
          <w:rStyle w:val="Strong"/>
          <w:rFonts w:ascii="Arial" w:hAnsi="Arial" w:cs="Arial"/>
          <w:b w:val="0"/>
          <w:bCs w:val="0"/>
          <w:sz w:val="22"/>
          <w:szCs w:val="22"/>
          <w:lang w:val="en-US"/>
        </w:rPr>
        <w:t>(B)</w:t>
      </w:r>
      <w:r w:rsidRPr="00E752FF">
        <w:rPr>
          <w:rFonts w:ascii="Arial" w:hAnsi="Arial" w:cs="Arial"/>
          <w:sz w:val="22"/>
          <w:szCs w:val="22"/>
          <w:lang w:val="en-US"/>
        </w:rPr>
        <w:t xml:space="preserve"> Representative H&amp;E-stained skin sections after 4 weeks of diet. Scale bar: to show. </w:t>
      </w:r>
      <w:r w:rsidRPr="00E752FF">
        <w:rPr>
          <w:rStyle w:val="Strong"/>
          <w:rFonts w:ascii="Arial" w:hAnsi="Arial" w:cs="Arial"/>
          <w:b w:val="0"/>
          <w:bCs w:val="0"/>
          <w:sz w:val="22"/>
          <w:szCs w:val="22"/>
          <w:lang w:val="en-US"/>
        </w:rPr>
        <w:t>(C)</w:t>
      </w:r>
      <w:r w:rsidRPr="00E752FF">
        <w:rPr>
          <w:rFonts w:ascii="Arial" w:hAnsi="Arial" w:cs="Arial"/>
          <w:sz w:val="22"/>
          <w:szCs w:val="22"/>
          <w:lang w:val="en-US"/>
        </w:rPr>
        <w:t xml:space="preserve"> Expression of cytokines and chemokines in total skin after 4 weeks of diet measured by Biomark assay. Data expressed as fold change relative to controls. n = 19 per group; 3 independent experiments; females only. Unpaired t-test and two-way ANOVA. </w:t>
      </w:r>
      <w:r w:rsidRPr="00E752FF">
        <w:rPr>
          <w:rStyle w:val="Strong"/>
          <w:rFonts w:ascii="Arial" w:hAnsi="Arial" w:cs="Arial"/>
          <w:b w:val="0"/>
          <w:bCs w:val="0"/>
          <w:sz w:val="22"/>
          <w:szCs w:val="22"/>
          <w:lang w:val="en-US"/>
        </w:rPr>
        <w:t>(D)</w:t>
      </w:r>
      <w:r w:rsidRPr="00E752FF">
        <w:rPr>
          <w:rFonts w:ascii="Arial" w:hAnsi="Arial" w:cs="Arial"/>
          <w:sz w:val="22"/>
          <w:szCs w:val="22"/>
          <w:lang w:val="en-US"/>
        </w:rPr>
        <w:t xml:space="preserve"> Gating strategy for flow cytometric analysis of CD45</w:t>
      </w:r>
      <w:r w:rsidRPr="00E752FF">
        <w:rPr>
          <w:rFonts w:ascii="Cambria Math" w:hAnsi="Cambria Math" w:cs="Cambria Math"/>
          <w:sz w:val="22"/>
          <w:szCs w:val="22"/>
          <w:lang w:val="en-US"/>
        </w:rPr>
        <w:t>⁺</w:t>
      </w:r>
      <w:r w:rsidRPr="00E752FF">
        <w:rPr>
          <w:rFonts w:ascii="Arial" w:hAnsi="Arial" w:cs="Arial"/>
          <w:sz w:val="22"/>
          <w:szCs w:val="22"/>
          <w:lang w:val="en-US"/>
        </w:rPr>
        <w:t xml:space="preserve"> skin immune cells.</w:t>
      </w:r>
    </w:p>
    <w:p w14:paraId="614E1BC6" w14:textId="77777777" w:rsidR="00CA78C3" w:rsidRPr="00E752FF" w:rsidRDefault="00CA78C3" w:rsidP="00CA78C3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0C8C7717" w14:textId="77777777" w:rsidR="00CA78C3" w:rsidRPr="00E752FF" w:rsidRDefault="00CA78C3" w:rsidP="00CA78C3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Supplementary </w:t>
      </w:r>
      <w:r w:rsidRPr="00E752FF">
        <w:rPr>
          <w:rFonts w:ascii="Arial" w:hAnsi="Arial" w:cs="Arial"/>
          <w:b/>
          <w:bCs/>
          <w:sz w:val="22"/>
          <w:szCs w:val="22"/>
          <w:lang w:val="en-US"/>
        </w:rPr>
        <w:t xml:space="preserve">Figure 3 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: </w:t>
      </w:r>
      <w:r w:rsidRPr="00E752FF">
        <w:rPr>
          <w:rFonts w:ascii="Arial" w:hAnsi="Arial" w:cs="Arial"/>
          <w:b/>
          <w:bCs/>
          <w:sz w:val="22"/>
          <w:szCs w:val="22"/>
          <w:lang w:val="en-US"/>
        </w:rPr>
        <w:t>Gut and additional microbiota analyses</w:t>
      </w:r>
    </w:p>
    <w:p w14:paraId="03C16003" w14:textId="77777777" w:rsidR="00CA78C3" w:rsidRPr="00E752FF" w:rsidRDefault="00CA78C3" w:rsidP="00CA78C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E752FF">
        <w:rPr>
          <w:rStyle w:val="Strong"/>
          <w:rFonts w:ascii="Arial" w:hAnsi="Arial" w:cs="Arial"/>
          <w:b w:val="0"/>
          <w:bCs w:val="0"/>
          <w:sz w:val="22"/>
          <w:szCs w:val="22"/>
          <w:lang w:val="en-US"/>
        </w:rPr>
        <w:t>(A)</w:t>
      </w:r>
      <w:r w:rsidRPr="00E752FF">
        <w:rPr>
          <w:rFonts w:ascii="Arial" w:hAnsi="Arial" w:cs="Arial"/>
          <w:sz w:val="22"/>
          <w:szCs w:val="22"/>
          <w:lang w:val="en-US"/>
        </w:rPr>
        <w:t xml:space="preserve"> Alpha diversity of the skin (left) n=14 to 16 and gut content (right) n=10 to 11 microbiota at week 4. Pooled data from 2 independent experiments. Individual values with mean ± SEM. Unpaired t-test. </w:t>
      </w:r>
      <w:r w:rsidRPr="00E752FF">
        <w:rPr>
          <w:rStyle w:val="Strong"/>
          <w:rFonts w:ascii="Arial" w:hAnsi="Arial" w:cs="Arial"/>
          <w:b w:val="0"/>
          <w:bCs w:val="0"/>
          <w:sz w:val="22"/>
          <w:szCs w:val="22"/>
          <w:lang w:val="en-US"/>
        </w:rPr>
        <w:t>(B)</w:t>
      </w:r>
      <w:r w:rsidRPr="00E752FF">
        <w:rPr>
          <w:rFonts w:ascii="Arial" w:hAnsi="Arial" w:cs="Arial"/>
          <w:sz w:val="22"/>
          <w:szCs w:val="22"/>
          <w:lang w:val="en-US"/>
        </w:rPr>
        <w:t xml:space="preserve"> Bar plot showing the relative abundance of major bacterial class and genera detected in the gut at week 4 in control (n =?) and Trp-low (n = ?) mice. (C) relative abundance of major bacterial phyla in the gut at week 3 from two independent experiments (n = 4-5 per group). Each bar represents one mouse. </w:t>
      </w:r>
      <w:r w:rsidRPr="00E752FF">
        <w:rPr>
          <w:rStyle w:val="Strong"/>
          <w:rFonts w:ascii="Arial" w:hAnsi="Arial" w:cs="Arial"/>
          <w:b w:val="0"/>
          <w:bCs w:val="0"/>
          <w:sz w:val="22"/>
          <w:szCs w:val="22"/>
          <w:lang w:val="en-US"/>
        </w:rPr>
        <w:t>(C)</w:t>
      </w:r>
      <w:r w:rsidRPr="00E752FF">
        <w:rPr>
          <w:rFonts w:ascii="Arial" w:hAnsi="Arial" w:cs="Arial"/>
          <w:sz w:val="22"/>
          <w:szCs w:val="22"/>
          <w:lang w:val="en-US"/>
        </w:rPr>
        <w:t xml:space="preserve"> Differential abundance analysis of gut </w:t>
      </w:r>
      <w:r w:rsidRPr="00E752FF">
        <w:rPr>
          <w:rFonts w:ascii="Arial" w:hAnsi="Arial" w:cs="Arial"/>
          <w:sz w:val="22"/>
          <w:szCs w:val="22"/>
          <w:lang w:val="en-US"/>
        </w:rPr>
        <w:lastRenderedPageBreak/>
        <w:t>microbiota at week 4 using DESeq2. Bar plot showing log</w:t>
      </w:r>
      <w:r w:rsidRPr="00E752FF">
        <w:rPr>
          <w:rFonts w:ascii="Cambria Math" w:hAnsi="Cambria Math" w:cs="Cambria Math"/>
          <w:sz w:val="22"/>
          <w:szCs w:val="22"/>
          <w:lang w:val="en-US"/>
        </w:rPr>
        <w:t>₂</w:t>
      </w:r>
      <w:r w:rsidRPr="00E752FF">
        <w:rPr>
          <w:rFonts w:ascii="Arial" w:hAnsi="Arial" w:cs="Arial"/>
          <w:sz w:val="22"/>
          <w:szCs w:val="22"/>
          <w:lang w:val="en-US"/>
        </w:rPr>
        <w:t xml:space="preserve"> fold change (log</w:t>
      </w:r>
      <w:r w:rsidRPr="00E752FF">
        <w:rPr>
          <w:rFonts w:ascii="Cambria Math" w:hAnsi="Cambria Math" w:cs="Cambria Math"/>
          <w:sz w:val="22"/>
          <w:szCs w:val="22"/>
          <w:lang w:val="en-US"/>
        </w:rPr>
        <w:t>₂</w:t>
      </w:r>
      <w:r w:rsidRPr="00E752FF">
        <w:rPr>
          <w:rFonts w:ascii="Arial" w:hAnsi="Arial" w:cs="Arial"/>
          <w:sz w:val="22"/>
          <w:szCs w:val="22"/>
          <w:lang w:val="en-US"/>
        </w:rPr>
        <w:t xml:space="preserve">FC) of significantly modulated taxa in Trp-low versus control groups. We used the Generalized Linear Model implemented in DESeq2 to identify the differential abundant genera. DESeq2, is a method for differential analysis of count data, using shrinkage estimation for dispersions and fold changes to improve stability and interpretability of estimates </w:t>
      </w:r>
      <w:r w:rsidRPr="00E752FF">
        <w:rPr>
          <w:rFonts w:ascii="Arial" w:hAnsi="Arial" w:cs="Arial"/>
          <w:sz w:val="22"/>
          <w:szCs w:val="22"/>
          <w:lang w:val="en-US"/>
        </w:rPr>
        <w:fldChar w:fldCharType="begin"/>
      </w:r>
      <w:r>
        <w:rPr>
          <w:rFonts w:ascii="Arial" w:hAnsi="Arial" w:cs="Arial"/>
          <w:sz w:val="22"/>
          <w:szCs w:val="22"/>
          <w:lang w:val="en-US"/>
        </w:rPr>
        <w:instrText xml:space="preserve"> ADDIN ZOTERO_ITEM CSL_CITATION {"citationID":"QSpui75A","properties":{"unsorted":false,"formattedCitation":"\\super 41\\nosupersub{}","plainCitation":"41","noteIndex":0},"citationItems":[{"id":4131,"uris":["http://zotero.org/users/5764663/items/W8BNXMS3"],"itemData":{"id":4131,"type":"article-journal","abstract":"In comparative high-throughput sequencing assays, a fundamental task is the analysis of count data, such as read counts per gene in RNA-seq, for evidence of systematic changes across experimental conditions. Small replicate numbers, discreteness, large dynamic range and the presence of outliers require a suitable statistical approach. We present DESeq2, a method for differential analysis of count data, using shrinkage estimation for dispersions and fold changes to improve stability and interpretability of estimates. This enables a more quantitative analysis focused on the strength rather than the mere presence of differential expression. The DESeq2 package is available at http://www.bioconductor.org/packages/release/bioc/html/DESeq2.html webcite.","container-title":"Genome Biology","DOI":"10.1186/s13059-014-0550-8","ISSN":"1474-760X","issue":"12","journalAbbreviation":"Genome Biol","language":"eng","page":"550","PMID":"25516281","PMCID":"PMC4302049","source":"PubMed","title":"Moderated estimation of fold change and dispersion for RNA-seq data with DESeq2","volume":"15","author":[{"family":"Love","given":"Michael I."},{"family":"Huber","given":"Wolfgang"},{"family":"Anders","given":"Simon"}],"issued":{"date-parts":[["2014"]]}}}],"schema":"https://github.com/citation-style-language/schema/raw/master/csl-citation.json"} </w:instrText>
      </w:r>
      <w:r w:rsidRPr="00E752FF">
        <w:rPr>
          <w:rFonts w:ascii="Arial" w:hAnsi="Arial" w:cs="Arial"/>
          <w:sz w:val="22"/>
          <w:szCs w:val="22"/>
          <w:lang w:val="en-US"/>
        </w:rPr>
        <w:fldChar w:fldCharType="separate"/>
      </w:r>
      <w:r w:rsidRPr="005B3063">
        <w:rPr>
          <w:rFonts w:ascii="Arial" w:eastAsia="Arial" w:hAnsi="Arial" w:cs="Arial"/>
          <w:sz w:val="22"/>
          <w:vertAlign w:val="superscript"/>
        </w:rPr>
        <w:t>41</w:t>
      </w:r>
      <w:r w:rsidRPr="00E752FF">
        <w:rPr>
          <w:rFonts w:ascii="Arial" w:hAnsi="Arial" w:cs="Arial"/>
          <w:sz w:val="22"/>
          <w:szCs w:val="22"/>
          <w:lang w:val="en-US"/>
        </w:rPr>
        <w:fldChar w:fldCharType="end"/>
      </w:r>
      <w:r w:rsidRPr="00E752FF">
        <w:rPr>
          <w:rFonts w:ascii="Arial" w:hAnsi="Arial" w:cs="Arial"/>
          <w:sz w:val="22"/>
          <w:szCs w:val="22"/>
          <w:lang w:val="en-US"/>
        </w:rPr>
        <w:t>. (D) TrpNet produces the tryptophan metabolism network for intuitive visualization and understanding. TrpNet consolidates known bio-transformations of tryptophan metabolism into 130 reactions and 108 metabolites annotated with microbial or/and host origins.</w:t>
      </w:r>
    </w:p>
    <w:p w14:paraId="2C8CFE7A" w14:textId="77777777" w:rsidR="00CA78C3" w:rsidRPr="00646270" w:rsidRDefault="00CA78C3" w:rsidP="00CA78C3">
      <w:pPr>
        <w:spacing w:line="360" w:lineRule="auto"/>
        <w:jc w:val="both"/>
        <w:rPr>
          <w:i/>
          <w:iCs/>
          <w:lang w:val="en-US"/>
        </w:rPr>
      </w:pPr>
      <w:r w:rsidRPr="00646270">
        <w:rPr>
          <w:i/>
          <w:iCs/>
          <w:lang w:val="en-US"/>
        </w:rPr>
        <w:t xml:space="preserve"> </w:t>
      </w:r>
    </w:p>
    <w:p w14:paraId="380B4851" w14:textId="77777777" w:rsidR="00CA78C3" w:rsidRPr="00646270" w:rsidRDefault="00CA78C3" w:rsidP="00CA78C3">
      <w:pPr>
        <w:spacing w:line="360" w:lineRule="auto"/>
        <w:jc w:val="both"/>
        <w:rPr>
          <w:i/>
          <w:iCs/>
          <w:lang w:val="en-US"/>
        </w:rPr>
      </w:pPr>
      <w:r w:rsidRPr="00646270">
        <w:rPr>
          <w:i/>
          <w:iCs/>
          <w:lang w:val="en-US"/>
        </w:rPr>
        <w:t xml:space="preserve"> </w:t>
      </w:r>
    </w:p>
    <w:p w14:paraId="23E21588" w14:textId="77777777" w:rsidR="00CA78C3" w:rsidRPr="00646270" w:rsidRDefault="00CA78C3" w:rsidP="00CA78C3">
      <w:pPr>
        <w:spacing w:line="360" w:lineRule="auto"/>
        <w:jc w:val="both"/>
        <w:rPr>
          <w:i/>
          <w:iCs/>
          <w:lang w:val="en-US"/>
        </w:rPr>
      </w:pPr>
    </w:p>
    <w:p w14:paraId="1D658DA8" w14:textId="77777777" w:rsidR="00DE6AE2" w:rsidRPr="00CA78C3" w:rsidRDefault="00DE6AE2">
      <w:pPr>
        <w:rPr>
          <w:lang w:val="en-US"/>
        </w:rPr>
      </w:pPr>
    </w:p>
    <w:sectPr w:rsidR="00DE6AE2" w:rsidRPr="00CA78C3" w:rsidSect="00CA78C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8C3"/>
    <w:rsid w:val="00195413"/>
    <w:rsid w:val="003A03A7"/>
    <w:rsid w:val="003D0186"/>
    <w:rsid w:val="007278E4"/>
    <w:rsid w:val="00A3738C"/>
    <w:rsid w:val="00B91ABC"/>
    <w:rsid w:val="00BC6C35"/>
    <w:rsid w:val="00CA78C3"/>
    <w:rsid w:val="00CB270D"/>
    <w:rsid w:val="00CF7583"/>
    <w:rsid w:val="00DE6AE2"/>
    <w:rsid w:val="00E7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E98ED"/>
  <w15:chartTrackingRefBased/>
  <w15:docId w15:val="{E787E658-1890-48A7-A871-8EE9D6729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8C3"/>
    <w:pPr>
      <w:spacing w:after="0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78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8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8C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8C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8C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8C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8C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8C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8C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8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8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8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8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8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8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8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78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A7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8C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A7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78C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A78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78C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A78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8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78C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A78C3"/>
    <w:pPr>
      <w:spacing w:before="100" w:beforeAutospacing="1" w:after="100" w:afterAutospacing="1"/>
    </w:pPr>
    <w:rPr>
      <w:lang w:val="fr" w:eastAsia="en-GB"/>
    </w:rPr>
  </w:style>
  <w:style w:type="character" w:styleId="Strong">
    <w:name w:val="Strong"/>
    <w:basedOn w:val="DefaultParagraphFont"/>
    <w:uiPriority w:val="22"/>
    <w:qFormat/>
    <w:rsid w:val="00CA78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771</Words>
  <Characters>4400</Characters>
  <Application>Microsoft Office Word</Application>
  <DocSecurity>0</DocSecurity>
  <Lines>36</Lines>
  <Paragraphs>10</Paragraphs>
  <ScaleCrop>false</ScaleCrop>
  <Company>Springer Nature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2026-07-30T10:38:00Z</dcterms:created>
  <dcterms:modified xsi:type="dcterms:W3CDTF">2026-07-30T10:39:00Z</dcterms:modified>
</cp:coreProperties>
</file>