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C73E" w14:textId="77777777" w:rsidR="007E340B" w:rsidRPr="00054EC4" w:rsidRDefault="007E340B" w:rsidP="007E340B">
      <w:pPr>
        <w:tabs>
          <w:tab w:val="left" w:pos="3380"/>
        </w:tabs>
        <w:spacing w:line="480" w:lineRule="auto"/>
        <w:rPr>
          <w:rFonts w:ascii="Times New Roman" w:hAnsi="Times New Roman" w:cs="Times New Roman"/>
          <w:b/>
          <w:szCs w:val="24"/>
        </w:rPr>
      </w:pPr>
      <w:r w:rsidRPr="00054EC4">
        <w:rPr>
          <w:rFonts w:ascii="Times New Roman" w:hAnsi="Times New Roman" w:cs="Times New Roman"/>
          <w:b/>
          <w:szCs w:val="24"/>
        </w:rPr>
        <w:t>Tables:</w:t>
      </w:r>
    </w:p>
    <w:p w14:paraId="03DE566A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03A5DF87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3F26C4">
        <w:rPr>
          <w:noProof/>
        </w:rPr>
        <w:drawing>
          <wp:anchor distT="0" distB="0" distL="114300" distR="114300" simplePos="0" relativeHeight="251659264" behindDoc="0" locked="0" layoutInCell="1" allowOverlap="1" wp14:anchorId="099F4D00" wp14:editId="3F59B2B2">
            <wp:simplePos x="0" y="0"/>
            <wp:positionH relativeFrom="page">
              <wp:align>center</wp:align>
            </wp:positionH>
            <wp:positionV relativeFrom="paragraph">
              <wp:posOffset>275937</wp:posOffset>
            </wp:positionV>
            <wp:extent cx="7143115" cy="4223385"/>
            <wp:effectExtent l="0" t="0" r="635" b="5715"/>
            <wp:wrapSquare wrapText="bothSides"/>
            <wp:docPr id="1774810874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CE84E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0BE8BCE6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084DF3">
        <w:rPr>
          <w:rFonts w:ascii="Times New Roman" w:hAnsi="Times New Roman" w:cs="Times New Roman"/>
          <w:sz w:val="16"/>
          <w:szCs w:val="16"/>
        </w:rPr>
        <w:t>PC: Piston Core</w:t>
      </w:r>
    </w:p>
    <w:p w14:paraId="7AA37EBF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084DF3">
        <w:rPr>
          <w:rFonts w:ascii="Times New Roman" w:hAnsi="Times New Roman" w:cs="Times New Roman"/>
          <w:sz w:val="16"/>
          <w:szCs w:val="16"/>
        </w:rPr>
        <w:t>cmbsf: centimeters below sea floor</w:t>
      </w:r>
    </w:p>
    <w:p w14:paraId="6D425241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sz w:val="16"/>
          <w:szCs w:val="16"/>
          <w:lang w:val="pt-BR"/>
        </w:rPr>
      </w:pPr>
      <w:r w:rsidRPr="00084DF3">
        <w:rPr>
          <w:rFonts w:ascii="Times New Roman" w:hAnsi="Times New Roman" w:cs="Times New Roman"/>
          <w:sz w:val="16"/>
          <w:szCs w:val="16"/>
          <w:lang w:val="pt-BR"/>
        </w:rPr>
        <w:t>Fax. Soturno: Faxinal do Soturno</w:t>
      </w:r>
    </w:p>
    <w:p w14:paraId="245A84F8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sz w:val="16"/>
          <w:szCs w:val="16"/>
          <w:lang w:val="pt-BR"/>
        </w:rPr>
      </w:pPr>
      <w:r w:rsidRPr="00084DF3">
        <w:rPr>
          <w:rFonts w:ascii="Times New Roman" w:hAnsi="Times New Roman" w:cs="Times New Roman"/>
          <w:sz w:val="16"/>
          <w:szCs w:val="16"/>
          <w:lang w:val="pt-BR"/>
        </w:rPr>
        <w:t xml:space="preserve">*Source: Proenca et al., 2022 </w:t>
      </w:r>
    </w:p>
    <w:p w14:paraId="3FABF396" w14:textId="77777777" w:rsidR="007E340B" w:rsidRPr="00084DF3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  <w:lang w:val="fr-FR"/>
        </w:rPr>
      </w:pPr>
      <w:r w:rsidRPr="00084DF3">
        <w:rPr>
          <w:rFonts w:ascii="Times New Roman" w:hAnsi="Times New Roman" w:cs="Times New Roman"/>
          <w:sz w:val="16"/>
          <w:szCs w:val="16"/>
        </w:rPr>
        <w:t>**Source: Silva e al., 2025</w:t>
      </w:r>
    </w:p>
    <w:p w14:paraId="42ACA4FF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7442ACDD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3CEE9F82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296A1692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65F0986F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5A14B968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6819B7E0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3DAFF833" w14:textId="77777777" w:rsidR="007E340B" w:rsidRPr="005502A3" w:rsidRDefault="007E340B" w:rsidP="007E340B">
      <w:pPr>
        <w:tabs>
          <w:tab w:val="left" w:pos="338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502A3">
        <w:rPr>
          <w:rFonts w:ascii="Times New Roman" w:hAnsi="Times New Roman" w:cs="Times New Roman"/>
          <w:b/>
          <w:sz w:val="20"/>
          <w:szCs w:val="20"/>
        </w:rPr>
        <w:t>Table 2.</w:t>
      </w:r>
      <w:r w:rsidRPr="005502A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5502A3">
        <w:rPr>
          <w:rFonts w:ascii="Times New Roman" w:hAnsi="Times New Roman" w:cs="Times New Roman"/>
          <w:sz w:val="20"/>
          <w:szCs w:val="20"/>
        </w:rPr>
        <w:t>inimum inhibitory concentrations (MIC) of iron (FeSO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5502A3">
        <w:rPr>
          <w:rFonts w:ascii="Times New Roman" w:hAnsi="Times New Roman" w:cs="Times New Roman"/>
          <w:sz w:val="20"/>
          <w:szCs w:val="20"/>
        </w:rPr>
        <w:t>.7H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502A3">
        <w:rPr>
          <w:rFonts w:ascii="Times New Roman" w:hAnsi="Times New Roman" w:cs="Times New Roman"/>
          <w:sz w:val="20"/>
          <w:szCs w:val="20"/>
        </w:rPr>
        <w:t>O), selenium (Na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502A3">
        <w:rPr>
          <w:rFonts w:ascii="Times New Roman" w:hAnsi="Times New Roman" w:cs="Times New Roman"/>
          <w:sz w:val="20"/>
          <w:szCs w:val="20"/>
        </w:rPr>
        <w:t>SeO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5502A3">
        <w:rPr>
          <w:rFonts w:ascii="Times New Roman" w:hAnsi="Times New Roman" w:cs="Times New Roman"/>
          <w:sz w:val="20"/>
          <w:szCs w:val="20"/>
        </w:rPr>
        <w:t>) and aluminum (NH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5502A3">
        <w:rPr>
          <w:rFonts w:ascii="Times New Roman" w:hAnsi="Times New Roman" w:cs="Times New Roman"/>
          <w:sz w:val="20"/>
          <w:szCs w:val="20"/>
        </w:rPr>
        <w:t>Al(SO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5502A3">
        <w:rPr>
          <w:rFonts w:ascii="Times New Roman" w:hAnsi="Times New Roman" w:cs="Times New Roman"/>
          <w:sz w:val="20"/>
          <w:szCs w:val="20"/>
        </w:rPr>
        <w:t>)2.12 H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502A3">
        <w:rPr>
          <w:rFonts w:ascii="Times New Roman" w:hAnsi="Times New Roman" w:cs="Times New Roman"/>
          <w:sz w:val="20"/>
          <w:szCs w:val="20"/>
        </w:rPr>
        <w:t xml:space="preserve">O) for the 12 bacterial isolates from the Guarani Aquifer System and for the reference strains (ATCC 27853 and ATCC 33019). Isolates with distinguished results are highlighted: the isolate that </w:t>
      </w:r>
      <w:r>
        <w:rPr>
          <w:rFonts w:ascii="Times New Roman" w:hAnsi="Times New Roman" w:cs="Times New Roman"/>
          <w:sz w:val="20"/>
          <w:szCs w:val="20"/>
        </w:rPr>
        <w:t xml:space="preserve">presented </w:t>
      </w:r>
      <w:r w:rsidRPr="005502A3">
        <w:rPr>
          <w:rFonts w:ascii="Times New Roman" w:hAnsi="Times New Roman" w:cs="Times New Roman"/>
          <w:sz w:val="20"/>
          <w:szCs w:val="20"/>
        </w:rPr>
        <w:t xml:space="preserve">the highest </w:t>
      </w:r>
      <w:r>
        <w:rPr>
          <w:rFonts w:ascii="Times New Roman" w:hAnsi="Times New Roman" w:cs="Times New Roman"/>
          <w:sz w:val="20"/>
          <w:szCs w:val="20"/>
        </w:rPr>
        <w:t xml:space="preserve">MIC values </w:t>
      </w:r>
      <w:r w:rsidRPr="005502A3">
        <w:rPr>
          <w:rFonts w:ascii="Times New Roman" w:hAnsi="Times New Roman" w:cs="Times New Roman"/>
          <w:sz w:val="20"/>
          <w:szCs w:val="20"/>
        </w:rPr>
        <w:t xml:space="preserve">of all metals is in dark grey, and those </w:t>
      </w:r>
      <w:r>
        <w:rPr>
          <w:rFonts w:ascii="Times New Roman" w:hAnsi="Times New Roman" w:cs="Times New Roman"/>
          <w:sz w:val="20"/>
          <w:szCs w:val="20"/>
        </w:rPr>
        <w:t>with the</w:t>
      </w:r>
      <w:r w:rsidRPr="005502A3">
        <w:rPr>
          <w:rFonts w:ascii="Times New Roman" w:hAnsi="Times New Roman" w:cs="Times New Roman"/>
          <w:sz w:val="20"/>
          <w:szCs w:val="20"/>
        </w:rPr>
        <w:t xml:space="preserve"> highest iron and aluminum </w:t>
      </w:r>
      <w:r>
        <w:rPr>
          <w:rFonts w:ascii="Times New Roman" w:hAnsi="Times New Roman" w:cs="Times New Roman"/>
          <w:sz w:val="20"/>
          <w:szCs w:val="20"/>
        </w:rPr>
        <w:t xml:space="preserve">MICs </w:t>
      </w:r>
      <w:r w:rsidRPr="005502A3">
        <w:rPr>
          <w:rFonts w:ascii="Times New Roman" w:hAnsi="Times New Roman" w:cs="Times New Roman"/>
          <w:sz w:val="20"/>
          <w:szCs w:val="20"/>
        </w:rPr>
        <w:t xml:space="preserve">and the second highest selenium </w:t>
      </w:r>
      <w:r>
        <w:rPr>
          <w:rFonts w:ascii="Times New Roman" w:hAnsi="Times New Roman" w:cs="Times New Roman"/>
          <w:sz w:val="20"/>
          <w:szCs w:val="20"/>
        </w:rPr>
        <w:t>MIC are</w:t>
      </w:r>
      <w:r w:rsidRPr="005502A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Pr="005502A3">
        <w:rPr>
          <w:rFonts w:ascii="Times New Roman" w:hAnsi="Times New Roman" w:cs="Times New Roman"/>
          <w:sz w:val="20"/>
          <w:szCs w:val="20"/>
        </w:rPr>
        <w:t xml:space="preserve">light gray. </w:t>
      </w:r>
    </w:p>
    <w:tbl>
      <w:tblPr>
        <w:tblW w:w="8356" w:type="dxa"/>
        <w:jc w:val="center"/>
        <w:tblLayout w:type="fixed"/>
        <w:tblLook w:val="0400" w:firstRow="0" w:lastRow="0" w:firstColumn="0" w:lastColumn="0" w:noHBand="0" w:noVBand="1"/>
      </w:tblPr>
      <w:tblGrid>
        <w:gridCol w:w="1977"/>
        <w:gridCol w:w="2551"/>
        <w:gridCol w:w="1276"/>
        <w:gridCol w:w="1276"/>
        <w:gridCol w:w="1276"/>
      </w:tblGrid>
      <w:tr w:rsidR="007E340B" w:rsidRPr="00D4670A" w14:paraId="03B94B2A" w14:textId="77777777" w:rsidTr="00B52495">
        <w:trPr>
          <w:trHeight w:val="315"/>
          <w:jc w:val="center"/>
        </w:trPr>
        <w:tc>
          <w:tcPr>
            <w:tcW w:w="1977" w:type="dxa"/>
            <w:vMerge w:val="restar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17E9E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Isolates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32ED1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Taxonomic identification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7E356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Minimum inhibitory concentrations (mM)</w:t>
            </w:r>
          </w:p>
        </w:tc>
      </w:tr>
      <w:tr w:rsidR="007E340B" w:rsidRPr="00D4670A" w14:paraId="54AFF7D5" w14:textId="77777777" w:rsidTr="00B52495">
        <w:trPr>
          <w:trHeight w:val="315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853377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1458AF" w14:textId="77777777" w:rsidR="007E340B" w:rsidRPr="00D4670A" w:rsidRDefault="007E340B" w:rsidP="00B5249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B2689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iron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224471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aluminum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86178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selenium</w:t>
            </w:r>
          </w:p>
        </w:tc>
      </w:tr>
      <w:tr w:rsidR="007E340B" w:rsidRPr="00D4670A" w14:paraId="607C2EA8" w14:textId="77777777" w:rsidTr="00B52495">
        <w:trPr>
          <w:trHeight w:val="315"/>
          <w:jc w:val="center"/>
        </w:trPr>
        <w:tc>
          <w:tcPr>
            <w:tcW w:w="197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38BE7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DB21D7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Pseudomonas </w:t>
            </w: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E17EF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D91C11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1695C3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E340B" w:rsidRPr="00D4670A" w14:paraId="4CE929E3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6D48D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CAP10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4DFD1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Unidentified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6B306A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2D2408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C125C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340B" w:rsidRPr="00D4670A" w14:paraId="68881CD6" w14:textId="77777777" w:rsidTr="00B52495">
        <w:trPr>
          <w:trHeight w:val="315"/>
          <w:jc w:val="center"/>
        </w:trPr>
        <w:tc>
          <w:tcPr>
            <w:tcW w:w="1977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8DAD5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CAP3</w:t>
            </w:r>
          </w:p>
        </w:tc>
        <w:tc>
          <w:tcPr>
            <w:tcW w:w="2551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EFF067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Unidentified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65CC8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825BC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84D3E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7E340B" w:rsidRPr="00D4670A" w14:paraId="78B9353E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C72B5D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CAE1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75EA9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Staphylococcus 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574500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ECF0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599BC2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E340B" w:rsidRPr="00D4670A" w14:paraId="6B8CFE37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3C8E92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CAV19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66B67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Bacillus 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C32BB5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077B3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ACE9A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E340B" w:rsidRPr="00D4670A" w14:paraId="5FC5C223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16D8F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CAV23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D4B7E1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Bacillus 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EFDA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76552C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E60D5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E340B" w:rsidRPr="00D4670A" w14:paraId="7025A93D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B5B52C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GRU33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F42783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Lysinibacillus 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9C8DDA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AC60D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8CC31A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7E340B" w:rsidRPr="00D4670A" w14:paraId="16FBD3C5" w14:textId="77777777" w:rsidTr="00B52495">
        <w:trPr>
          <w:trHeight w:val="315"/>
          <w:jc w:val="center"/>
        </w:trPr>
        <w:tc>
          <w:tcPr>
            <w:tcW w:w="197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A7F78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VB5</w:t>
            </w:r>
          </w:p>
        </w:tc>
        <w:tc>
          <w:tcPr>
            <w:tcW w:w="2551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59179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Bacillus sp.</w:t>
            </w:r>
          </w:p>
        </w:tc>
        <w:tc>
          <w:tcPr>
            <w:tcW w:w="127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EB5645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9816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68C28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7E340B" w:rsidRPr="00D4670A" w14:paraId="5A12DC0D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7DC25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RF3121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C55E65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Lysinibacillus 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C31232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9DE946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AE57E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:rsidRPr="00D4670A" w14:paraId="0ED93B56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0D14A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RF311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9D34E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Unsup</w:t>
            </w:r>
            <w:r w:rsidRPr="00D467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 Lysinibacillus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EC45DA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40B967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156BE6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E340B" w:rsidRPr="00D4670A" w14:paraId="68A968A8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6117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98136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Unsup. </w:t>
            </w:r>
            <w:r w:rsidRPr="00D467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Lysinibacillus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FED32D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84808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F016D9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7E340B" w:rsidRPr="00D4670A" w14:paraId="58A99A8D" w14:textId="77777777" w:rsidTr="00B52495">
        <w:trPr>
          <w:trHeight w:val="315"/>
          <w:jc w:val="center"/>
        </w:trPr>
        <w:tc>
          <w:tcPr>
            <w:tcW w:w="1977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0EF8A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NSP5</w:t>
            </w:r>
          </w:p>
        </w:tc>
        <w:tc>
          <w:tcPr>
            <w:tcW w:w="2551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925A4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Unidentified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9EF54C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35166F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AA9883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7E340B" w:rsidRPr="00D4670A" w14:paraId="7AB80AE8" w14:textId="77777777" w:rsidTr="00B52495">
        <w:trPr>
          <w:trHeight w:val="315"/>
          <w:jc w:val="center"/>
        </w:trPr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9AFF91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ATCC 27853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B508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P. aeruginosa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5DA981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C9EDE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A77ECA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E340B" w:rsidRPr="00D4670A" w14:paraId="69EBEEF4" w14:textId="77777777" w:rsidTr="00B52495">
        <w:trPr>
          <w:trHeight w:val="315"/>
          <w:jc w:val="center"/>
        </w:trPr>
        <w:tc>
          <w:tcPr>
            <w:tcW w:w="197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76C7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ATCC 33019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596A73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i/>
                <w:sz w:val="20"/>
                <w:szCs w:val="20"/>
              </w:rPr>
              <w:t>B. cereus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55875B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36A199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247DF" w14:textId="77777777" w:rsidR="007E340B" w:rsidRPr="00D4670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70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14:paraId="1B3B08A5" w14:textId="77777777" w:rsidR="007E340B" w:rsidRDefault="007E340B" w:rsidP="007E340B">
      <w:pPr>
        <w:spacing w:line="480" w:lineRule="auto"/>
        <w:ind w:firstLine="720"/>
        <w:rPr>
          <w:rFonts w:ascii="Times New Roman" w:eastAsia="Times New Roman" w:hAnsi="Times New Roman" w:cs="Times New Roman"/>
          <w:bCs/>
          <w:iCs/>
          <w:szCs w:val="24"/>
        </w:rPr>
      </w:pPr>
    </w:p>
    <w:p w14:paraId="42C75B09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74FC51D7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0EDCA2B0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4159FDE6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346E30BB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0250370D" w14:textId="77777777" w:rsidR="007E340B" w:rsidRPr="00A02082" w:rsidRDefault="007E340B" w:rsidP="007E340B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502A3">
        <w:rPr>
          <w:rFonts w:ascii="Times New Roman" w:hAnsi="Times New Roman" w:cs="Times New Roman"/>
          <w:b/>
          <w:sz w:val="20"/>
          <w:szCs w:val="20"/>
        </w:rPr>
        <w:t>Table 3.</w:t>
      </w:r>
      <w:r w:rsidRPr="005502A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5502A3">
        <w:rPr>
          <w:rFonts w:ascii="Times New Roman" w:hAnsi="Times New Roman" w:cs="Times New Roman"/>
          <w:sz w:val="20"/>
          <w:szCs w:val="20"/>
        </w:rPr>
        <w:t xml:space="preserve">inimum inhibitory concentrations (MIC) of mercury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5502A3">
        <w:rPr>
          <w:rFonts w:ascii="Times New Roman" w:hAnsi="Times New Roman" w:cs="Times New Roman"/>
          <w:sz w:val="20"/>
          <w:szCs w:val="20"/>
        </w:rPr>
        <w:t>(CH</w:t>
      </w:r>
      <w:r w:rsidRPr="00437B8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5502A3">
        <w:rPr>
          <w:rFonts w:ascii="Times New Roman" w:hAnsi="Times New Roman" w:cs="Times New Roman"/>
          <w:sz w:val="20"/>
          <w:szCs w:val="20"/>
        </w:rPr>
        <w:t>COO)2Hg), copper (CuCl</w:t>
      </w:r>
      <w:r w:rsidRPr="00437B8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502A3">
        <w:rPr>
          <w:rFonts w:ascii="Times New Roman" w:hAnsi="Times New Roman" w:cs="Times New Roman"/>
          <w:sz w:val="20"/>
          <w:szCs w:val="20"/>
        </w:rPr>
        <w:t>.2H</w:t>
      </w:r>
      <w:r w:rsidRPr="00437B8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502A3">
        <w:rPr>
          <w:rFonts w:ascii="Times New Roman" w:hAnsi="Times New Roman" w:cs="Times New Roman"/>
          <w:sz w:val="20"/>
          <w:szCs w:val="20"/>
        </w:rPr>
        <w:t>O) and nickel (NiCl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502A3">
        <w:rPr>
          <w:rFonts w:ascii="Times New Roman" w:hAnsi="Times New Roman" w:cs="Times New Roman"/>
          <w:sz w:val="20"/>
          <w:szCs w:val="20"/>
        </w:rPr>
        <w:t>.6H</w:t>
      </w:r>
      <w:r w:rsidRPr="005502A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502A3">
        <w:rPr>
          <w:rFonts w:ascii="Times New Roman" w:hAnsi="Times New Roman" w:cs="Times New Roman"/>
          <w:sz w:val="20"/>
          <w:szCs w:val="20"/>
        </w:rPr>
        <w:t xml:space="preserve">O) for the 12 bacterial isolates from the Rio Grande Cone, and for the reference strains (ATCC 27853 and ATCC 33019). </w:t>
      </w:r>
      <w:r w:rsidRPr="005502A3">
        <w:rPr>
          <w:rFonts w:ascii="Times New Roman" w:hAnsi="Times New Roman" w:cs="Times New Roman"/>
          <w:sz w:val="20"/>
        </w:rPr>
        <w:t xml:space="preserve">Isolates with distinguished results are highlighted: the isolate </w:t>
      </w:r>
      <w:r w:rsidRPr="005502A3">
        <w:rPr>
          <w:rFonts w:ascii="Times New Roman" w:hAnsi="Times New Roman" w:cs="Times New Roman"/>
          <w:sz w:val="20"/>
          <w:szCs w:val="20"/>
        </w:rPr>
        <w:t xml:space="preserve">that </w:t>
      </w:r>
      <w:r>
        <w:rPr>
          <w:rFonts w:ascii="Times New Roman" w:hAnsi="Times New Roman" w:cs="Times New Roman"/>
          <w:sz w:val="20"/>
          <w:szCs w:val="20"/>
        </w:rPr>
        <w:t xml:space="preserve">presented </w:t>
      </w:r>
      <w:r w:rsidRPr="005502A3">
        <w:rPr>
          <w:rFonts w:ascii="Times New Roman" w:hAnsi="Times New Roman" w:cs="Times New Roman"/>
          <w:sz w:val="20"/>
          <w:szCs w:val="20"/>
        </w:rPr>
        <w:t xml:space="preserve">the highest </w:t>
      </w:r>
      <w:r>
        <w:rPr>
          <w:rFonts w:ascii="Times New Roman" w:hAnsi="Times New Roman" w:cs="Times New Roman"/>
          <w:sz w:val="20"/>
          <w:szCs w:val="20"/>
        </w:rPr>
        <w:t xml:space="preserve">MIC values </w:t>
      </w:r>
      <w:r w:rsidRPr="005502A3">
        <w:rPr>
          <w:rFonts w:ascii="Times New Roman" w:hAnsi="Times New Roman" w:cs="Times New Roman"/>
          <w:sz w:val="20"/>
        </w:rPr>
        <w:t xml:space="preserve">of mercury and nickel, and the second highest of copper is in dark grey, </w:t>
      </w:r>
      <w:r>
        <w:rPr>
          <w:rFonts w:ascii="Times New Roman" w:hAnsi="Times New Roman" w:cs="Times New Roman"/>
          <w:sz w:val="20"/>
        </w:rPr>
        <w:t>whereas</w:t>
      </w:r>
      <w:r w:rsidRPr="005502A3">
        <w:rPr>
          <w:rFonts w:ascii="Times New Roman" w:hAnsi="Times New Roman" w:cs="Times New Roman"/>
          <w:sz w:val="20"/>
        </w:rPr>
        <w:t xml:space="preserve"> those that </w:t>
      </w:r>
      <w:r>
        <w:rPr>
          <w:rFonts w:ascii="Times New Roman" w:hAnsi="Times New Roman" w:cs="Times New Roman"/>
          <w:sz w:val="20"/>
        </w:rPr>
        <w:t>exhibited</w:t>
      </w:r>
      <w:r w:rsidRPr="005502A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the highest MIC </w:t>
      </w:r>
      <w:r w:rsidRPr="005502A3">
        <w:rPr>
          <w:rFonts w:ascii="Times New Roman" w:hAnsi="Times New Roman" w:cs="Times New Roman"/>
          <w:sz w:val="20"/>
        </w:rPr>
        <w:t>of at least one metal</w:t>
      </w:r>
      <w:r>
        <w:rPr>
          <w:rFonts w:ascii="Times New Roman" w:hAnsi="Times New Roman" w:cs="Times New Roman"/>
          <w:sz w:val="20"/>
        </w:rPr>
        <w:t xml:space="preserve"> are</w:t>
      </w:r>
      <w:r w:rsidRPr="005502A3">
        <w:rPr>
          <w:rFonts w:ascii="Times New Roman" w:hAnsi="Times New Roman" w:cs="Times New Roman"/>
          <w:sz w:val="20"/>
        </w:rPr>
        <w:t xml:space="preserve"> in light gray. </w:t>
      </w:r>
    </w:p>
    <w:tbl>
      <w:tblPr>
        <w:tblW w:w="7789" w:type="dxa"/>
        <w:jc w:val="center"/>
        <w:tblLayout w:type="fixed"/>
        <w:tblLook w:val="0400" w:firstRow="0" w:lastRow="0" w:firstColumn="0" w:lastColumn="0" w:noHBand="0" w:noVBand="1"/>
      </w:tblPr>
      <w:tblGrid>
        <w:gridCol w:w="1643"/>
        <w:gridCol w:w="2318"/>
        <w:gridCol w:w="1276"/>
        <w:gridCol w:w="1276"/>
        <w:gridCol w:w="1276"/>
      </w:tblGrid>
      <w:tr w:rsidR="007E340B" w14:paraId="37DAF1E0" w14:textId="77777777" w:rsidTr="00B52495">
        <w:trPr>
          <w:trHeight w:val="315"/>
          <w:jc w:val="center"/>
        </w:trPr>
        <w:tc>
          <w:tcPr>
            <w:tcW w:w="1643" w:type="dxa"/>
            <w:vMerge w:val="restar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C9B47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02A3">
              <w:rPr>
                <w:b/>
                <w:bCs/>
              </w:rPr>
              <w:t xml:space="preserve">          </w:t>
            </w: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Isolates</w:t>
            </w:r>
          </w:p>
        </w:tc>
        <w:tc>
          <w:tcPr>
            <w:tcW w:w="2318" w:type="dxa"/>
            <w:vMerge w:val="restar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DDD6B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Taxonomic identification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42E8E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Minimum inhibitory concentrations (mM)</w:t>
            </w:r>
          </w:p>
        </w:tc>
      </w:tr>
      <w:tr w:rsidR="007E340B" w14:paraId="6E789869" w14:textId="77777777" w:rsidTr="00B52495">
        <w:trPr>
          <w:trHeight w:val="315"/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DF49E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1E2DDD" w14:textId="77777777" w:rsidR="007E340B" w:rsidRPr="00542992" w:rsidRDefault="007E340B" w:rsidP="00B5249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D2304F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mercury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402F1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41B2E4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nickel </w:t>
            </w:r>
          </w:p>
        </w:tc>
      </w:tr>
      <w:tr w:rsidR="007E340B" w14:paraId="41EED050" w14:textId="77777777" w:rsidTr="00B52495">
        <w:trPr>
          <w:trHeight w:val="315"/>
          <w:jc w:val="center"/>
        </w:trPr>
        <w:tc>
          <w:tcPr>
            <w:tcW w:w="1643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7BEE34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MD330.6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6E16AE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Pseudomonas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91096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AE429A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3DEE60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14:paraId="72AF0B3E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A5539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MD330.9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641C1C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Pseudomonas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97450C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0DD44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752F93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340B" w14:paraId="72176908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F387E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MD330.10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371410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Pseudomonas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97EEE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57577C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C426F6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:rsidRPr="009652FA" w14:paraId="23AA8F16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25448E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MD330.11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C3BDC0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Pseudomonas </w:t>
            </w: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533123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90E302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618EA7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:rsidRPr="009652FA" w14:paraId="3A8F1A67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0008E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MD332.6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21EF3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Pseudomonas </w:t>
            </w: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4A488A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D9E24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3893E8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:rsidRPr="009652FA" w14:paraId="0013E44B" w14:textId="77777777" w:rsidTr="00B52495">
        <w:trPr>
          <w:trHeight w:val="315"/>
          <w:jc w:val="center"/>
        </w:trPr>
        <w:tc>
          <w:tcPr>
            <w:tcW w:w="164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4A335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MD332.8</w:t>
            </w:r>
          </w:p>
        </w:tc>
        <w:tc>
          <w:tcPr>
            <w:tcW w:w="231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5EE2A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Pseudomonas </w:t>
            </w: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2E86CB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F5E2CC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AB022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E340B" w:rsidRPr="009652FA" w14:paraId="38C871D6" w14:textId="77777777" w:rsidTr="00B52495">
        <w:trPr>
          <w:trHeight w:val="315"/>
          <w:jc w:val="center"/>
        </w:trPr>
        <w:tc>
          <w:tcPr>
            <w:tcW w:w="1643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29BFDB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MET17</w:t>
            </w:r>
          </w:p>
        </w:tc>
        <w:tc>
          <w:tcPr>
            <w:tcW w:w="2318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1E749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Paenibacillus </w:t>
            </w: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02C1E3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51E72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DD45B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:rsidRPr="009652FA" w14:paraId="3C559FA9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C40338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MET16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C6B71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Paenibacillus </w:t>
            </w: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27757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8FB4E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DA9BD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:rsidRPr="009652FA" w14:paraId="0C381AF1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AF4BB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MR16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EB77B5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652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laterosporus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5C496C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7998F1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D0DD2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340B" w:rsidRPr="009652FA" w14:paraId="6C964F0E" w14:textId="77777777" w:rsidTr="00B52495">
        <w:trPr>
          <w:trHeight w:val="315"/>
          <w:jc w:val="center"/>
        </w:trPr>
        <w:tc>
          <w:tcPr>
            <w:tcW w:w="1643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6E475F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MR06</w:t>
            </w:r>
          </w:p>
        </w:tc>
        <w:tc>
          <w:tcPr>
            <w:tcW w:w="2318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B4EDB7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B. </w:t>
            </w:r>
            <w:r w:rsidRPr="00E60F85">
              <w:rPr>
                <w:rFonts w:ascii="Times New Roman" w:hAnsi="Times New Roman" w:cs="Times New Roman"/>
                <w:i/>
                <w:sz w:val="20"/>
                <w:szCs w:val="20"/>
              </w:rPr>
              <w:t>megaterium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05607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C12E80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21A3D0" w14:textId="77777777" w:rsidR="007E340B" w:rsidRPr="00E60F85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E340B" w:rsidRPr="009652FA" w14:paraId="0AE55C24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63CCE3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MR29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B80398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Bacillus </w:t>
            </w: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EC3F9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60F490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92E844" w14:textId="77777777" w:rsidR="007E340B" w:rsidRPr="009652F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340B" w14:paraId="128257DF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C769F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MR38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2F6550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Bacillus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E86B4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27CA9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52DFE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340B" w14:paraId="66DE7AC0" w14:textId="77777777" w:rsidTr="00B52495">
        <w:trPr>
          <w:trHeight w:val="315"/>
          <w:jc w:val="center"/>
        </w:trPr>
        <w:tc>
          <w:tcPr>
            <w:tcW w:w="1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1BD63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ATCC 27853</w:t>
            </w:r>
          </w:p>
        </w:tc>
        <w:tc>
          <w:tcPr>
            <w:tcW w:w="23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B3B5A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P. aeruginosa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0FB55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D6CDA8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CA7CE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40B" w14:paraId="50D50EB8" w14:textId="77777777" w:rsidTr="00B52495">
        <w:trPr>
          <w:trHeight w:val="315"/>
          <w:jc w:val="center"/>
        </w:trPr>
        <w:tc>
          <w:tcPr>
            <w:tcW w:w="1643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180DC4" w14:textId="77777777" w:rsidR="007E340B" w:rsidRPr="00542992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ATCC 33019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4CEE7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B. cereus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123E53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EDC56E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BC72E" w14:textId="77777777" w:rsidR="007E340B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18A28EF9" w14:textId="77777777" w:rsidR="007E340B" w:rsidRDefault="007E340B" w:rsidP="007E340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New serif" w:hAnsi="New serif"/>
          <w:b/>
          <w:color w:val="1D2228"/>
          <w:sz w:val="20"/>
          <w:szCs w:val="20"/>
          <w:shd w:val="clear" w:color="auto" w:fill="FFFFFF"/>
        </w:rPr>
      </w:pPr>
    </w:p>
    <w:p w14:paraId="2F53B00A" w14:textId="77777777" w:rsidR="007E340B" w:rsidRDefault="007E340B" w:rsidP="007E340B">
      <w:pP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38953159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4E92E245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73FF6115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273C51AD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501614D1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fr-FR"/>
        </w:rPr>
      </w:pPr>
    </w:p>
    <w:p w14:paraId="7A296DE3" w14:textId="77777777" w:rsidR="007E340B" w:rsidRPr="00BA1953" w:rsidRDefault="007E340B" w:rsidP="007E340B">
      <w:pPr>
        <w:spacing w:line="480" w:lineRule="auto"/>
        <w:rPr>
          <w:rFonts w:ascii="Times New Roman" w:hAnsi="Times New Roman" w:cs="Times New Roman"/>
          <w:sz w:val="20"/>
          <w:szCs w:val="24"/>
          <w:lang w:eastAsia="x-none"/>
        </w:rPr>
      </w:pPr>
      <w:r w:rsidRPr="00D54777">
        <w:rPr>
          <w:rFonts w:ascii="Times New Roman" w:hAnsi="Times New Roman" w:cs="Times New Roman"/>
          <w:b/>
          <w:sz w:val="20"/>
          <w:szCs w:val="24"/>
          <w:lang w:eastAsia="x-none"/>
        </w:rPr>
        <w:t xml:space="preserve">Table </w:t>
      </w:r>
      <w:r>
        <w:rPr>
          <w:rFonts w:ascii="Times New Roman" w:hAnsi="Times New Roman" w:cs="Times New Roman"/>
          <w:b/>
          <w:sz w:val="20"/>
          <w:szCs w:val="24"/>
          <w:lang w:eastAsia="x-none"/>
        </w:rPr>
        <w:t>4</w:t>
      </w:r>
      <w:r w:rsidRPr="00D54777">
        <w:rPr>
          <w:rFonts w:ascii="Times New Roman" w:hAnsi="Times New Roman" w:cs="Times New Roman"/>
          <w:b/>
          <w:sz w:val="20"/>
          <w:szCs w:val="24"/>
          <w:lang w:eastAsia="x-none"/>
        </w:rPr>
        <w:t>.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 Compilation of results of isolates from the Guarani Aquifer System and Rio Grande Cone that presented </w:t>
      </w:r>
      <w:r>
        <w:rPr>
          <w:rFonts w:ascii="Times New Roman" w:hAnsi="Times New Roman" w:cs="Times New Roman"/>
          <w:sz w:val="20"/>
          <w:szCs w:val="24"/>
          <w:lang w:eastAsia="x-none"/>
        </w:rPr>
        <w:t>unique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 properties </w:t>
      </w:r>
      <w:r>
        <w:rPr>
          <w:rFonts w:ascii="Times New Roman" w:hAnsi="Times New Roman" w:cs="Times New Roman"/>
          <w:sz w:val="20"/>
          <w:szCs w:val="24"/>
          <w:lang w:eastAsia="x-none"/>
        </w:rPr>
        <w:t>across our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 analys</w:t>
      </w:r>
      <w:r>
        <w:rPr>
          <w:rFonts w:ascii="Times New Roman" w:hAnsi="Times New Roman" w:cs="Times New Roman"/>
          <w:sz w:val="20"/>
          <w:szCs w:val="24"/>
          <w:lang w:eastAsia="x-none"/>
        </w:rPr>
        <w:t>e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s. The isolates that </w:t>
      </w:r>
      <w:r>
        <w:rPr>
          <w:rFonts w:ascii="Times New Roman" w:hAnsi="Times New Roman" w:cs="Times New Roman"/>
          <w:sz w:val="20"/>
          <w:szCs w:val="24"/>
          <w:lang w:eastAsia="x-none"/>
        </w:rPr>
        <w:t>had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 the highest MIC</w:t>
      </w:r>
      <w:r>
        <w:rPr>
          <w:rFonts w:ascii="Times New Roman" w:hAnsi="Times New Roman" w:cs="Times New Roman"/>
          <w:sz w:val="20"/>
          <w:szCs w:val="24"/>
          <w:lang w:eastAsia="x-none"/>
        </w:rPr>
        <w:t>s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 for </w:t>
      </w:r>
      <w:r>
        <w:rPr>
          <w:rFonts w:ascii="Times New Roman" w:hAnsi="Times New Roman" w:cs="Times New Roman"/>
          <w:sz w:val="20"/>
          <w:szCs w:val="24"/>
          <w:lang w:eastAsia="x-none"/>
        </w:rPr>
        <w:t>each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 tested metal are indicated </w:t>
      </w:r>
      <w:r>
        <w:rPr>
          <w:rFonts w:ascii="Times New Roman" w:hAnsi="Times New Roman" w:cs="Times New Roman"/>
          <w:sz w:val="20"/>
          <w:szCs w:val="24"/>
          <w:lang w:eastAsia="x-none"/>
        </w:rPr>
        <w:t>as “++”, while those with other high MICs values are marked as “+”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. </w:t>
      </w:r>
      <w:r>
        <w:rPr>
          <w:rFonts w:ascii="Times New Roman" w:hAnsi="Times New Roman" w:cs="Times New Roman"/>
          <w:sz w:val="20"/>
          <w:szCs w:val="24"/>
          <w:lang w:eastAsia="x-none"/>
        </w:rPr>
        <w:t xml:space="preserve">The ability of biofilm formation is noted as *** (strong producer), ** (moderate producer), or * (weak producer). 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PCR results for genes involved in selenium and mercury resistance, and observations from SEM images are also informed. The four isolates with </w:t>
      </w:r>
      <w:r>
        <w:rPr>
          <w:rFonts w:ascii="Times New Roman" w:hAnsi="Times New Roman" w:cs="Times New Roman"/>
          <w:sz w:val="20"/>
          <w:szCs w:val="24"/>
          <w:lang w:eastAsia="x-none"/>
        </w:rPr>
        <w:t xml:space="preserve">relevant 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 xml:space="preserve">combinations </w:t>
      </w:r>
      <w:r>
        <w:rPr>
          <w:rFonts w:ascii="Times New Roman" w:hAnsi="Times New Roman" w:cs="Times New Roman"/>
          <w:sz w:val="20"/>
          <w:szCs w:val="24"/>
          <w:lang w:eastAsia="x-none"/>
        </w:rPr>
        <w:t xml:space="preserve">of </w:t>
      </w:r>
      <w:r w:rsidRPr="00D54777">
        <w:rPr>
          <w:rFonts w:ascii="Times New Roman" w:hAnsi="Times New Roman" w:cs="Times New Roman"/>
          <w:sz w:val="20"/>
          <w:szCs w:val="24"/>
          <w:lang w:eastAsia="x-none"/>
        </w:rPr>
        <w:t>properties are indicated in bold letters.</w:t>
      </w:r>
    </w:p>
    <w:tbl>
      <w:tblPr>
        <w:tblpPr w:leftFromText="180" w:rightFromText="180" w:vertAnchor="text" w:horzAnchor="margin" w:tblpXSpec="center" w:tblpY="237"/>
        <w:tblW w:w="9000" w:type="dxa"/>
        <w:tblLayout w:type="fixed"/>
        <w:tblLook w:val="04A0" w:firstRow="1" w:lastRow="0" w:firstColumn="1" w:lastColumn="0" w:noHBand="0" w:noVBand="1"/>
      </w:tblPr>
      <w:tblGrid>
        <w:gridCol w:w="900"/>
        <w:gridCol w:w="2361"/>
        <w:gridCol w:w="429"/>
        <w:gridCol w:w="435"/>
        <w:gridCol w:w="432"/>
        <w:gridCol w:w="461"/>
        <w:gridCol w:w="432"/>
        <w:gridCol w:w="432"/>
        <w:gridCol w:w="496"/>
        <w:gridCol w:w="496"/>
        <w:gridCol w:w="686"/>
        <w:gridCol w:w="1440"/>
      </w:tblGrid>
      <w:tr w:rsidR="007E340B" w:rsidRPr="00DE49BE" w14:paraId="62B23450" w14:textId="77777777" w:rsidTr="00B52495">
        <w:trPr>
          <w:trHeight w:val="178"/>
        </w:trPr>
        <w:tc>
          <w:tcPr>
            <w:tcW w:w="900" w:type="dxa"/>
            <w:vMerge w:val="restart"/>
            <w:vAlign w:val="center"/>
          </w:tcPr>
          <w:p w14:paraId="2269A71C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Env.</w:t>
            </w:r>
          </w:p>
        </w:tc>
        <w:tc>
          <w:tcPr>
            <w:tcW w:w="2361" w:type="dxa"/>
            <w:vMerge w:val="restart"/>
            <w:vAlign w:val="center"/>
          </w:tcPr>
          <w:p w14:paraId="4A3CAA93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Isolate</w:t>
            </w:r>
          </w:p>
        </w:tc>
        <w:tc>
          <w:tcPr>
            <w:tcW w:w="2621" w:type="dxa"/>
            <w:gridSpan w:val="6"/>
            <w:vAlign w:val="center"/>
          </w:tcPr>
          <w:p w14:paraId="1468953C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Maximum MIC (mM)</w:t>
            </w:r>
          </w:p>
        </w:tc>
        <w:tc>
          <w:tcPr>
            <w:tcW w:w="992" w:type="dxa"/>
            <w:gridSpan w:val="2"/>
            <w:vAlign w:val="center"/>
          </w:tcPr>
          <w:p w14:paraId="0B31CB62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Biofilm</w:t>
            </w:r>
          </w:p>
        </w:tc>
        <w:tc>
          <w:tcPr>
            <w:tcW w:w="686" w:type="dxa"/>
            <w:vMerge w:val="restart"/>
            <w:tcBorders>
              <w:bottom w:val="single" w:sz="4" w:space="0" w:color="auto"/>
            </w:tcBorders>
            <w:vAlign w:val="center"/>
          </w:tcPr>
          <w:p w14:paraId="10542501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Genes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14:paraId="071C45E6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</w:t>
            </w:r>
          </w:p>
        </w:tc>
      </w:tr>
      <w:tr w:rsidR="007E340B" w:rsidRPr="00DE49BE" w14:paraId="122ABCE2" w14:textId="77777777" w:rsidTr="00B52495">
        <w:trPr>
          <w:trHeight w:val="178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698DBDE5" w14:textId="77777777" w:rsidR="007E340B" w:rsidRPr="00DE49BE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1" w:type="dxa"/>
            <w:vMerge/>
            <w:tcBorders>
              <w:bottom w:val="single" w:sz="4" w:space="0" w:color="auto"/>
            </w:tcBorders>
            <w:vAlign w:val="center"/>
          </w:tcPr>
          <w:p w14:paraId="7DBAFC6A" w14:textId="77777777" w:rsidR="007E340B" w:rsidRPr="00DE49BE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97262E0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Fe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0447E24D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4C15CEB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9167F03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Hg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F134F30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Cu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2D1A7A5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Ni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70196285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24h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18E572A4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48h</w:t>
            </w: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14:paraId="356BCDD4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03C4061A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40B" w:rsidRPr="00DE49BE" w14:paraId="01A5A907" w14:textId="77777777" w:rsidTr="00B52495"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14:paraId="0C9CEEBD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A19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Guarani Aquifer System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7B7F8AD2" w14:textId="77777777" w:rsidR="007E340B" w:rsidRPr="00A32F3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F3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Pseudomonas </w:t>
            </w:r>
            <w:r w:rsidRPr="00A32F3F">
              <w:rPr>
                <w:rFonts w:ascii="Times New Roman" w:hAnsi="Times New Roman" w:cs="Times New Roman"/>
                <w:sz w:val="18"/>
                <w:szCs w:val="18"/>
              </w:rPr>
              <w:t>sp. CAP2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6FD8309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14:paraId="2698EE13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53F227C4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0BEC7461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09396F7B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B7664AC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08011406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2C69CF45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14:paraId="72416088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12132C6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</w:tr>
      <w:tr w:rsidR="007E340B" w:rsidRPr="00DE49BE" w14:paraId="60A4851E" w14:textId="77777777" w:rsidTr="00B52495">
        <w:tc>
          <w:tcPr>
            <w:tcW w:w="900" w:type="dxa"/>
            <w:vMerge/>
            <w:vAlign w:val="center"/>
          </w:tcPr>
          <w:p w14:paraId="4B5235E1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2BE9C565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Bacillus </w:t>
            </w: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sp. CAV19</w:t>
            </w:r>
          </w:p>
        </w:tc>
        <w:tc>
          <w:tcPr>
            <w:tcW w:w="429" w:type="dxa"/>
            <w:vAlign w:val="center"/>
          </w:tcPr>
          <w:p w14:paraId="42466BAA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5" w:type="dxa"/>
            <w:vAlign w:val="center"/>
          </w:tcPr>
          <w:p w14:paraId="229D2689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vAlign w:val="center"/>
          </w:tcPr>
          <w:p w14:paraId="01DC1E14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1" w:type="dxa"/>
            <w:vAlign w:val="center"/>
          </w:tcPr>
          <w:p w14:paraId="747AA39A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1FE34FF3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E7ED133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122C8D03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496" w:type="dxa"/>
            <w:vAlign w:val="center"/>
          </w:tcPr>
          <w:p w14:paraId="522A6CC1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86" w:type="dxa"/>
            <w:vAlign w:val="center"/>
          </w:tcPr>
          <w:p w14:paraId="409AF896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  <w:tc>
          <w:tcPr>
            <w:tcW w:w="1440" w:type="dxa"/>
            <w:vAlign w:val="center"/>
          </w:tcPr>
          <w:p w14:paraId="143F6F7B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</w:tr>
      <w:tr w:rsidR="007E340B" w:rsidRPr="00DE49BE" w14:paraId="0723855D" w14:textId="77777777" w:rsidTr="00B52495">
        <w:tc>
          <w:tcPr>
            <w:tcW w:w="900" w:type="dxa"/>
            <w:vMerge/>
            <w:vAlign w:val="center"/>
          </w:tcPr>
          <w:p w14:paraId="2293BC06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18A0E9C7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Bacillus </w:t>
            </w:r>
            <w:r w:rsidRPr="00056C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sp. VB5</w:t>
            </w:r>
          </w:p>
        </w:tc>
        <w:tc>
          <w:tcPr>
            <w:tcW w:w="429" w:type="dxa"/>
            <w:vAlign w:val="center"/>
          </w:tcPr>
          <w:p w14:paraId="70354896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5" w:type="dxa"/>
            <w:vAlign w:val="center"/>
          </w:tcPr>
          <w:p w14:paraId="472EA5C4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vAlign w:val="center"/>
          </w:tcPr>
          <w:p w14:paraId="639A3308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61" w:type="dxa"/>
            <w:vAlign w:val="center"/>
          </w:tcPr>
          <w:p w14:paraId="2DA4AA26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1205164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FDF3E25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626002F5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496" w:type="dxa"/>
            <w:vAlign w:val="center"/>
          </w:tcPr>
          <w:p w14:paraId="185E520A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757E05B9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iCs/>
                <w:sz w:val="18"/>
                <w:szCs w:val="18"/>
              </w:rPr>
              <w:t>ND</w:t>
            </w:r>
          </w:p>
        </w:tc>
        <w:tc>
          <w:tcPr>
            <w:tcW w:w="1440" w:type="dxa"/>
            <w:vAlign w:val="center"/>
          </w:tcPr>
          <w:p w14:paraId="7EAE7DF8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Se nanoparticles</w:t>
            </w:r>
          </w:p>
        </w:tc>
      </w:tr>
      <w:tr w:rsidR="007E340B" w:rsidRPr="00DE49BE" w14:paraId="2FA07AC7" w14:textId="77777777" w:rsidTr="00B52495">
        <w:tc>
          <w:tcPr>
            <w:tcW w:w="900" w:type="dxa"/>
            <w:vMerge/>
            <w:vAlign w:val="center"/>
          </w:tcPr>
          <w:p w14:paraId="78BFF468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77103FC0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Lysinibacillus</w:t>
            </w:r>
            <w:r w:rsidRPr="00056C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sp. GRU33</w:t>
            </w:r>
          </w:p>
        </w:tc>
        <w:tc>
          <w:tcPr>
            <w:tcW w:w="429" w:type="dxa"/>
            <w:vAlign w:val="center"/>
          </w:tcPr>
          <w:p w14:paraId="456AA043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5" w:type="dxa"/>
            <w:vAlign w:val="center"/>
          </w:tcPr>
          <w:p w14:paraId="2692F964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2" w:type="dxa"/>
            <w:vAlign w:val="center"/>
          </w:tcPr>
          <w:p w14:paraId="6F763D01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61" w:type="dxa"/>
            <w:vAlign w:val="center"/>
          </w:tcPr>
          <w:p w14:paraId="260F3ABD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14D2360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752F4FC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448D62F4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496" w:type="dxa"/>
            <w:vAlign w:val="center"/>
          </w:tcPr>
          <w:p w14:paraId="7F1A0AC5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251C297E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1440" w:type="dxa"/>
            <w:vAlign w:val="center"/>
          </w:tcPr>
          <w:p w14:paraId="44709F6A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Se nanoparticles</w:t>
            </w:r>
          </w:p>
        </w:tc>
      </w:tr>
      <w:tr w:rsidR="007E340B" w:rsidRPr="00DE49BE" w14:paraId="448A49BB" w14:textId="77777777" w:rsidTr="00B52495">
        <w:tc>
          <w:tcPr>
            <w:tcW w:w="900" w:type="dxa"/>
            <w:vMerge/>
            <w:vAlign w:val="center"/>
          </w:tcPr>
          <w:p w14:paraId="3A92F2E5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327D036C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Unsup. Lysinibacillus </w:t>
            </w: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MEL13</w:t>
            </w:r>
          </w:p>
        </w:tc>
        <w:tc>
          <w:tcPr>
            <w:tcW w:w="429" w:type="dxa"/>
            <w:vAlign w:val="center"/>
          </w:tcPr>
          <w:p w14:paraId="00F923F9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5" w:type="dxa"/>
            <w:vAlign w:val="center"/>
          </w:tcPr>
          <w:p w14:paraId="70E5C3D9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2" w:type="dxa"/>
            <w:vAlign w:val="center"/>
          </w:tcPr>
          <w:p w14:paraId="3997451C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1" w:type="dxa"/>
            <w:vAlign w:val="center"/>
          </w:tcPr>
          <w:p w14:paraId="7B430A20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55E86E5A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50DE4EEE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7B86F14D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496" w:type="dxa"/>
            <w:vAlign w:val="center"/>
          </w:tcPr>
          <w:p w14:paraId="02E405F2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686" w:type="dxa"/>
            <w:vAlign w:val="center"/>
          </w:tcPr>
          <w:p w14:paraId="00C4C8D8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iCs/>
                <w:sz w:val="18"/>
                <w:szCs w:val="18"/>
              </w:rPr>
              <w:t>ND</w:t>
            </w:r>
          </w:p>
        </w:tc>
        <w:tc>
          <w:tcPr>
            <w:tcW w:w="1440" w:type="dxa"/>
            <w:vAlign w:val="center"/>
          </w:tcPr>
          <w:p w14:paraId="1859B53B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</w:tr>
      <w:tr w:rsidR="007E340B" w:rsidRPr="00DE49BE" w14:paraId="70C53F61" w14:textId="77777777" w:rsidTr="00B52495"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083B6595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69B4B83A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Unidentified CAP3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50C84A0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5C48DC1E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2315D9C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AE12D65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B97621E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99BFE6D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507C7A28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52673336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5C2480EC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selD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72C38F" w14:textId="77777777" w:rsidR="007E340B" w:rsidRPr="00056C14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14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</w:tr>
      <w:tr w:rsidR="007E340B" w:rsidRPr="00DE49BE" w14:paraId="5AF70424" w14:textId="77777777" w:rsidTr="00B52495"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14:paraId="5A1D64F2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19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Rio Grande Cone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34B689BB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Pseudomonas </w:t>
            </w: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sp. MD332.8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9CEA166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14:paraId="6712B76B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54137D41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0AB90A59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7CEA2BD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4D462585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171A38B5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63FE45FA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14:paraId="2CCF79F0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merA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E85B82B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</w:tr>
      <w:tr w:rsidR="007E340B" w:rsidRPr="00DE49BE" w14:paraId="5C35D64C" w14:textId="77777777" w:rsidTr="00B52495">
        <w:tc>
          <w:tcPr>
            <w:tcW w:w="900" w:type="dxa"/>
            <w:vMerge/>
            <w:vAlign w:val="center"/>
          </w:tcPr>
          <w:p w14:paraId="5166AD99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6B1E9C39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Pseudomonas </w:t>
            </w:r>
            <w:r w:rsidRPr="00E524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sp. MD330.11</w:t>
            </w:r>
          </w:p>
        </w:tc>
        <w:tc>
          <w:tcPr>
            <w:tcW w:w="429" w:type="dxa"/>
            <w:vAlign w:val="center"/>
          </w:tcPr>
          <w:p w14:paraId="105C2827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A7D13F2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B72F218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3BE71FD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vAlign w:val="center"/>
          </w:tcPr>
          <w:p w14:paraId="2C27C6B6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2" w:type="dxa"/>
            <w:vAlign w:val="center"/>
          </w:tcPr>
          <w:p w14:paraId="0CFEF8C1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6" w:type="dxa"/>
            <w:vAlign w:val="center"/>
          </w:tcPr>
          <w:p w14:paraId="2C99C647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496" w:type="dxa"/>
            <w:vAlign w:val="center"/>
          </w:tcPr>
          <w:p w14:paraId="2258542E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86" w:type="dxa"/>
            <w:vAlign w:val="center"/>
          </w:tcPr>
          <w:p w14:paraId="31A24001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merA</w:t>
            </w:r>
          </w:p>
        </w:tc>
        <w:tc>
          <w:tcPr>
            <w:tcW w:w="1440" w:type="dxa"/>
            <w:vAlign w:val="center"/>
          </w:tcPr>
          <w:p w14:paraId="387E314B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EPS, Hg particles</w:t>
            </w:r>
          </w:p>
        </w:tc>
      </w:tr>
      <w:tr w:rsidR="007E340B" w:rsidRPr="00DE49BE" w14:paraId="085B8163" w14:textId="77777777" w:rsidTr="00B52495">
        <w:tc>
          <w:tcPr>
            <w:tcW w:w="900" w:type="dxa"/>
            <w:vMerge/>
            <w:vAlign w:val="center"/>
          </w:tcPr>
          <w:p w14:paraId="186B0976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D56C444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Bacillus </w:t>
            </w: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sp. MR06</w:t>
            </w:r>
          </w:p>
        </w:tc>
        <w:tc>
          <w:tcPr>
            <w:tcW w:w="429" w:type="dxa"/>
            <w:vAlign w:val="center"/>
          </w:tcPr>
          <w:p w14:paraId="64B43AB8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713D92C3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2342E96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06EC1221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vAlign w:val="center"/>
          </w:tcPr>
          <w:p w14:paraId="2980231A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2" w:type="dxa"/>
            <w:vAlign w:val="center"/>
          </w:tcPr>
          <w:p w14:paraId="33CF6F3E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96" w:type="dxa"/>
            <w:vAlign w:val="center"/>
          </w:tcPr>
          <w:p w14:paraId="37EB6C59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496" w:type="dxa"/>
            <w:vAlign w:val="center"/>
          </w:tcPr>
          <w:p w14:paraId="5DA86F77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21C91FF8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merA</w:t>
            </w:r>
          </w:p>
        </w:tc>
        <w:tc>
          <w:tcPr>
            <w:tcW w:w="1440" w:type="dxa"/>
            <w:vAlign w:val="center"/>
          </w:tcPr>
          <w:p w14:paraId="3BDC2A9C" w14:textId="77777777" w:rsidR="007E340B" w:rsidRPr="00E5246A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6A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</w:tr>
      <w:tr w:rsidR="007E340B" w:rsidRPr="00DE49BE" w14:paraId="3F3C750C" w14:textId="77777777" w:rsidTr="00B52495"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397F56DB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6533E99F" w14:textId="77777777" w:rsidR="007E340B" w:rsidRPr="00BA1953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9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Paenibacillus </w:t>
            </w:r>
            <w:r w:rsidRPr="00BA1953">
              <w:rPr>
                <w:rFonts w:ascii="Times New Roman" w:hAnsi="Times New Roman" w:cs="Times New Roman"/>
                <w:sz w:val="18"/>
                <w:szCs w:val="18"/>
              </w:rPr>
              <w:t>sp. MET16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3965F57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0AD459A3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F7F6B34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6406B15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++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1058B928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36C3F3AC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1667D38C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82B4EF8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08140E9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A3E2B2" w14:textId="77777777" w:rsidR="007E340B" w:rsidRPr="000D36DF" w:rsidRDefault="007E340B" w:rsidP="00B5249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6DF">
              <w:rPr>
                <w:rFonts w:ascii="Times New Roman" w:hAnsi="Times New Roman" w:cs="Times New Roman"/>
                <w:sz w:val="18"/>
                <w:szCs w:val="18"/>
              </w:rPr>
              <w:t>EPS, Hg particles</w:t>
            </w:r>
          </w:p>
        </w:tc>
      </w:tr>
    </w:tbl>
    <w:p w14:paraId="0D63118C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NT = not tested; ND = not detected.</w:t>
      </w:r>
    </w:p>
    <w:p w14:paraId="2CA4E693" w14:textId="77777777" w:rsidR="007E340B" w:rsidRDefault="007E340B" w:rsidP="007E340B">
      <w:pPr>
        <w:spacing w:line="480" w:lineRule="auto"/>
        <w:rPr>
          <w:rFonts w:ascii="Times New Roman" w:hAnsi="Times New Roman" w:cs="Times New Roman"/>
          <w:sz w:val="22"/>
        </w:rPr>
      </w:pPr>
    </w:p>
    <w:p w14:paraId="4D2E7084" w14:textId="77777777" w:rsidR="007E340B" w:rsidRPr="00F2723E" w:rsidRDefault="007E340B" w:rsidP="007E340B">
      <w:pPr>
        <w:spacing w:line="48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3EE7B3DE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0B"/>
    <w:rsid w:val="002978F5"/>
    <w:rsid w:val="003852CF"/>
    <w:rsid w:val="004E780C"/>
    <w:rsid w:val="007E340B"/>
    <w:rsid w:val="00D57761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89EA"/>
  <w15:chartTrackingRefBased/>
  <w15:docId w15:val="{F85BE2DC-F664-46EE-9998-3EEC5D24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340B"/>
    <w:pPr>
      <w:widowControl w:val="0"/>
      <w:spacing w:after="0" w:line="360" w:lineRule="auto"/>
      <w:jc w:val="both"/>
    </w:pPr>
    <w:rPr>
      <w:rFonts w:ascii="Arial" w:eastAsia="Arial" w:hAnsi="Arial" w:cs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40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40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40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40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40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40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40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40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40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40B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40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40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40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4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2026-06-02T18:33:00Z</dcterms:created>
  <dcterms:modified xsi:type="dcterms:W3CDTF">2026-06-02T18:33:00Z</dcterms:modified>
</cp:coreProperties>
</file>