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CA5AE">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360" w:lineRule="exact"/>
        <w:textAlignment w:val="auto"/>
        <w:rPr>
          <w:rFonts w:hint="default" w:ascii="Times New Roman" w:hAnsi="Times New Roman" w:eastAsia="sans-serif" w:cs="Times New Roman"/>
          <w:b/>
          <w:bCs/>
          <w:sz w:val="28"/>
          <w:szCs w:val="28"/>
        </w:rPr>
      </w:pPr>
      <w:r>
        <w:rPr>
          <w:rFonts w:hint="default" w:ascii="Times New Roman" w:hAnsi="Times New Roman" w:eastAsia="sans-serif" w:cs="Times New Roman"/>
          <w:b/>
          <w:bCs/>
          <w:sz w:val="28"/>
          <w:szCs w:val="28"/>
        </w:rPr>
        <w:t>Supplementary Materials for "Collaborative Governance for Cybersecurity under Information Asymmetry: A Tripartite Evolutionary Game with Whistleblowing Incentives"</w:t>
      </w:r>
    </w:p>
    <w:p w14:paraId="3FF6B2FB">
      <w:pPr>
        <w:pStyle w:val="4"/>
        <w:keepNext w:val="0"/>
        <w:keepLines w:val="0"/>
        <w:widowControl/>
        <w:suppressLineNumbers w:val="0"/>
        <w:pBdr>
          <w:top w:val="none" w:color="auto" w:sz="0" w:space="0"/>
          <w:bottom w:val="none" w:color="auto" w:sz="0" w:space="0"/>
        </w:pBdr>
        <w:spacing w:before="0" w:beforeAutospacing="0" w:line="17" w:lineRule="atLeast"/>
        <w:rPr>
          <w:rFonts w:hint="default" w:ascii="Times New Roman" w:hAnsi="Times New Roman" w:eastAsia="sans-serif" w:cs="Times New Roman"/>
        </w:rPr>
      </w:pPr>
      <w:r>
        <w:rPr>
          <w:rFonts w:hint="default" w:ascii="Times New Roman" w:hAnsi="Times New Roman" w:eastAsia="sans-serif" w:cs="Times New Roman"/>
        </w:rPr>
        <w:t>This document provides additional numerical simulations to support the robustness checks and sensitivity analyses discussed in Section 6.4 of the main manuscript. While the main text focuses on the impact of verification precision (</w:t>
      </w:r>
      <w:r>
        <w:rPr>
          <w:rFonts w:hint="default" w:ascii="Times New Roman" w:hAnsi="Times New Roman" w:eastAsia="sans-serif" w:cs="Times New Roman"/>
          <w:i/>
          <w:iCs/>
        </w:rPr>
        <w:t>q</w:t>
      </w:r>
      <w:r>
        <w:rPr>
          <w:rFonts w:hint="default" w:ascii="Times New Roman" w:hAnsi="Times New Roman" w:eastAsia="sans-serif" w:cs="Times New Roman"/>
        </w:rPr>
        <w:t>) and false-report penalties (</w:t>
      </w:r>
      <w:r>
        <w:rPr>
          <w:rFonts w:hint="default" w:ascii="Times New Roman" w:hAnsi="Times New Roman" w:eastAsia="sans-serif" w:cs="Times New Roman"/>
          <w:i/>
          <w:iCs/>
        </w:rPr>
        <w:t>f</w:t>
      </w:r>
      <w:r>
        <w:rPr>
          <w:rFonts w:hint="default" w:ascii="Times New Roman" w:hAnsi="Times New Roman" w:eastAsia="sans-serif" w:cs="Times New Roman"/>
        </w:rPr>
        <w:t xml:space="preserve">), these supplementary figures verify the stability of the proposed model under varying initial conditions and exogenous economic parameters (Government Penalty </w:t>
      </w:r>
      <w:r>
        <w:rPr>
          <w:rFonts w:hint="default" w:ascii="Times New Roman" w:hAnsi="Times New Roman" w:eastAsia="sans-serif" w:cs="Times New Roman"/>
          <w:i/>
          <w:iCs/>
        </w:rPr>
        <w:t>P</w:t>
      </w:r>
      <w:r>
        <w:rPr>
          <w:rFonts w:hint="default" w:ascii="Times New Roman" w:hAnsi="Times New Roman" w:eastAsia="sans-serif" w:cs="Times New Roman"/>
        </w:rPr>
        <w:t xml:space="preserve"> and Non-compliance Benefit Δ</w:t>
      </w:r>
      <w:r>
        <w:rPr>
          <w:rFonts w:hint="default" w:ascii="Times New Roman" w:hAnsi="Times New Roman" w:eastAsia="sans-serif" w:cs="Times New Roman"/>
          <w:i/>
          <w:iCs/>
        </w:rPr>
        <w:t>C</w:t>
      </w:r>
      <w:r>
        <w:rPr>
          <w:rFonts w:hint="default" w:ascii="Times New Roman" w:hAnsi="Times New Roman" w:eastAsia="sans-serif" w:cs="Times New Roman"/>
        </w:rPr>
        <w:t>).</w:t>
      </w:r>
    </w:p>
    <w:p w14:paraId="5DBB4D71">
      <w:pPr>
        <w:pStyle w:val="2"/>
        <w:keepNext w:val="0"/>
        <w:keepLines w:val="0"/>
        <w:widowControl/>
        <w:suppressLineNumbers w:val="0"/>
        <w:spacing w:before="0" w:beforeAutospacing="0" w:line="17" w:lineRule="atLeast"/>
        <w:rPr>
          <w:rFonts w:hint="default" w:ascii="Times New Roman" w:hAnsi="Times New Roman" w:eastAsia="sans-serif" w:cs="Times New Roman"/>
        </w:rPr>
      </w:pPr>
      <w:r>
        <w:rPr>
          <w:rFonts w:hint="default" w:ascii="Times New Roman" w:hAnsi="Times New Roman" w:eastAsia="sans-serif" w:cs="Times New Roman"/>
          <w:b/>
          <w:bCs/>
        </w:rPr>
        <w:t>S1. Robustness Check: Independence of Initial Strategies</w:t>
      </w:r>
    </w:p>
    <w:p w14:paraId="6612A20C">
      <w:pPr>
        <w:pStyle w:val="4"/>
        <w:keepNext w:val="0"/>
        <w:keepLines w:val="0"/>
        <w:widowControl/>
        <w:suppressLineNumbers w:val="0"/>
        <w:spacing w:before="0" w:beforeAutospacing="0" w:line="17" w:lineRule="atLeast"/>
        <w:rPr>
          <w:rFonts w:hint="default" w:ascii="Times New Roman" w:hAnsi="Times New Roman" w:eastAsia="sans-serif" w:cs="Times New Roman"/>
        </w:rPr>
      </w:pPr>
      <w:r>
        <w:rPr>
          <w:rFonts w:hint="default" w:ascii="Times New Roman" w:hAnsi="Times New Roman" w:eastAsia="sans-serif" w:cs="Times New Roman"/>
        </w:rPr>
        <w:t>To verify that the identified equilibrium (specifically the "Silence Trap" or "Collaborative Equilibrium") is a global attractor rather than a local one, we simulated the system's evolution under different initial strategy distributions (</w:t>
      </w:r>
      <w:r>
        <w:rPr>
          <w:rFonts w:hint="default" w:ascii="Times New Roman" w:hAnsi="Times New Roman" w:eastAsia="sans-serif" w:cs="Times New Roman"/>
          <w:i/>
          <w:iCs/>
        </w:rPr>
        <w:t>x</w:t>
      </w:r>
      <w:r>
        <w:rPr>
          <w:rFonts w:hint="default" w:ascii="Times New Roman" w:hAnsi="Times New Roman" w:eastAsia="sans-serif" w:cs="Times New Roman"/>
          <w:vertAlign w:val="subscript"/>
        </w:rPr>
        <w:t>0</w:t>
      </w:r>
      <w:r>
        <w:rPr>
          <w:rFonts w:hint="default" w:ascii="Times New Roman" w:hAnsi="Times New Roman" w:eastAsia="sans-serif" w:cs="Times New Roman"/>
        </w:rPr>
        <w:t xml:space="preserve">, </w:t>
      </w:r>
      <w:r>
        <w:rPr>
          <w:rFonts w:hint="default" w:ascii="Times New Roman" w:hAnsi="Times New Roman" w:eastAsia="sans-serif" w:cs="Times New Roman"/>
          <w:i/>
          <w:iCs/>
        </w:rPr>
        <w:t>y</w:t>
      </w:r>
      <w:r>
        <w:rPr>
          <w:rFonts w:hint="default" w:ascii="Times New Roman" w:hAnsi="Times New Roman" w:eastAsia="sans-serif" w:cs="Times New Roman"/>
          <w:vertAlign w:val="subscript"/>
        </w:rPr>
        <w:t>0</w:t>
      </w:r>
      <w:r>
        <w:rPr>
          <w:rFonts w:hint="default" w:ascii="Times New Roman" w:hAnsi="Times New Roman" w:eastAsia="sans-serif" w:cs="Times New Roman"/>
        </w:rPr>
        <w:t xml:space="preserve">, </w:t>
      </w:r>
      <w:r>
        <w:rPr>
          <w:rFonts w:hint="default" w:ascii="Times New Roman" w:hAnsi="Times New Roman" w:eastAsia="sans-serif" w:cs="Times New Roman"/>
          <w:i/>
          <w:iCs/>
        </w:rPr>
        <w:t>z</w:t>
      </w:r>
      <w:r>
        <w:rPr>
          <w:rFonts w:hint="default" w:ascii="Times New Roman" w:hAnsi="Times New Roman" w:eastAsia="sans-serif" w:cs="Times New Roman"/>
          <w:vertAlign w:val="subscript"/>
        </w:rPr>
        <w:t>0</w:t>
      </w:r>
      <w:r>
        <w:rPr>
          <w:rFonts w:hint="default" w:ascii="Times New Roman" w:hAnsi="Times New Roman" w:eastAsia="sans-serif" w:cs="Times New Roman"/>
        </w:rPr>
        <w:t>).</w:t>
      </w:r>
    </w:p>
    <w:p w14:paraId="124DA51F">
      <w:pPr>
        <w:pageBreakBefore w:val="0"/>
        <w:widowControl w:val="0"/>
        <w:kinsoku/>
        <w:wordWrap/>
        <w:overflowPunct/>
        <w:topLinePunct w:val="0"/>
        <w:autoSpaceDE/>
        <w:autoSpaceDN/>
        <w:bidi w:val="0"/>
        <w:adjustRightInd w:val="0"/>
        <w:snapToGrid w:val="0"/>
        <w:ind w:left="630" w:leftChars="0" w:hanging="630" w:hangingChars="300"/>
        <w:textAlignment w:val="auto"/>
        <w:rPr>
          <w:rFonts w:hint="eastAsia" w:ascii="Times New Roman" w:hAnsi="Times New Roman"/>
          <w:color w:val="auto"/>
          <w:sz w:val="24"/>
          <w:szCs w:val="24"/>
          <w:highlight w:val="none"/>
          <w:lang w:val="en-US" w:eastAsia="zh-CN"/>
        </w:rPr>
      </w:pPr>
      <w:r>
        <w:drawing>
          <wp:inline distT="0" distB="0" distL="114300" distR="114300">
            <wp:extent cx="2609850" cy="1800225"/>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4"/>
                    <a:stretch>
                      <a:fillRect/>
                    </a:stretch>
                  </pic:blipFill>
                  <pic:spPr>
                    <a:xfrm>
                      <a:off x="0" y="0"/>
                      <a:ext cx="2609850" cy="1800225"/>
                    </a:xfrm>
                    <a:prstGeom prst="rect">
                      <a:avLst/>
                    </a:prstGeom>
                    <a:noFill/>
                    <a:ln>
                      <a:noFill/>
                    </a:ln>
                  </pic:spPr>
                </pic:pic>
              </a:graphicData>
            </a:graphic>
          </wp:inline>
        </w:drawing>
      </w:r>
      <w:r>
        <w:drawing>
          <wp:inline distT="0" distB="0" distL="114300" distR="114300">
            <wp:extent cx="2609850" cy="1800225"/>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5"/>
                    <a:stretch>
                      <a:fillRect/>
                    </a:stretch>
                  </pic:blipFill>
                  <pic:spPr>
                    <a:xfrm>
                      <a:off x="0" y="0"/>
                      <a:ext cx="2609850" cy="1800225"/>
                    </a:xfrm>
                    <a:prstGeom prst="rect">
                      <a:avLst/>
                    </a:prstGeom>
                    <a:noFill/>
                    <a:ln>
                      <a:noFill/>
                    </a:ln>
                  </pic:spPr>
                </pic:pic>
              </a:graphicData>
            </a:graphic>
          </wp:inline>
        </w:drawing>
      </w:r>
      <w:r>
        <w:rPr>
          <w:rFonts w:hint="eastAsia" w:ascii="Times New Roman" w:hAnsi="Times New Roman" w:eastAsia="黑体" w:cstheme="minorBidi"/>
          <w:color w:val="auto"/>
          <w:kern w:val="2"/>
          <w:sz w:val="20"/>
          <w:szCs w:val="24"/>
          <w:highlight w:val="none"/>
          <w:lang w:val="en-US" w:eastAsia="zh-CN" w:bidi="ar-SA"/>
        </w:rPr>
        <w:t>（a）</w:t>
      </w:r>
      <w:r>
        <w:rPr>
          <w:rFonts w:hint="default" w:ascii="Times New Roman" w:hAnsi="Times New Roman" w:eastAsia="sans-serif" w:cs="Times New Roman"/>
          <w:lang w:val="en-US" w:eastAsia="zh-CN"/>
        </w:rPr>
        <w:t>Low initial willingness</w:t>
      </w:r>
      <w:r>
        <w:rPr>
          <w:rFonts w:hint="eastAsia" w:ascii="Times New Roman" w:hAnsi="Times New Roman" w:eastAsia="黑体" w:cstheme="minorBidi"/>
          <w:color w:val="auto"/>
          <w:kern w:val="2"/>
          <w:sz w:val="20"/>
          <w:szCs w:val="24"/>
          <w:highlight w:val="none"/>
          <w:lang w:val="en-US" w:eastAsia="zh-CN" w:bidi="ar-SA"/>
        </w:rPr>
        <w:t>（0.3, 0.3, 0.2   （b）</w:t>
      </w:r>
      <w:r>
        <w:rPr>
          <w:rFonts w:hint="default" w:ascii="Times New Roman" w:hAnsi="Times New Roman" w:eastAsia="sans-serif" w:cs="Times New Roman"/>
          <w:lang w:val="en-US" w:eastAsia="zh-CN"/>
        </w:rPr>
        <w:t>Medium initial willingness</w:t>
      </w:r>
      <w:r>
        <w:rPr>
          <w:rFonts w:hint="eastAsia" w:ascii="Times New Roman" w:hAnsi="Times New Roman" w:eastAsia="黑体" w:cstheme="minorBidi"/>
          <w:color w:val="auto"/>
          <w:kern w:val="2"/>
          <w:sz w:val="20"/>
          <w:szCs w:val="24"/>
          <w:highlight w:val="none"/>
          <w:lang w:val="en-US" w:eastAsia="zh-CN" w:bidi="ar-SA"/>
        </w:rPr>
        <w:t>（0.4, 0.5, 0.6）</w:t>
      </w:r>
    </w:p>
    <w:p w14:paraId="73741593">
      <w:pPr>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imes New Roman" w:hAnsi="Times New Roman"/>
          <w:color w:val="auto"/>
          <w:sz w:val="24"/>
          <w:szCs w:val="24"/>
          <w:highlight w:val="none"/>
          <w:lang w:val="en-US" w:eastAsia="zh-CN"/>
        </w:rPr>
      </w:pPr>
      <w:r>
        <w:drawing>
          <wp:inline distT="0" distB="0" distL="114300" distR="114300">
            <wp:extent cx="2609850" cy="1800225"/>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6"/>
                    <a:stretch>
                      <a:fillRect/>
                    </a:stretch>
                  </pic:blipFill>
                  <pic:spPr>
                    <a:xfrm>
                      <a:off x="0" y="0"/>
                      <a:ext cx="2609850" cy="1800225"/>
                    </a:xfrm>
                    <a:prstGeom prst="rect">
                      <a:avLst/>
                    </a:prstGeom>
                    <a:noFill/>
                    <a:ln>
                      <a:noFill/>
                    </a:ln>
                  </pic:spPr>
                </pic:pic>
              </a:graphicData>
            </a:graphic>
          </wp:inline>
        </w:drawing>
      </w:r>
    </w:p>
    <w:p w14:paraId="0895BCEE">
      <w:pPr>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imes New Roman" w:hAnsi="Times New Roman"/>
          <w:color w:val="auto"/>
          <w:sz w:val="24"/>
          <w:szCs w:val="24"/>
          <w:highlight w:val="none"/>
          <w:lang w:val="en-US" w:eastAsia="zh-CN"/>
        </w:rPr>
      </w:pPr>
      <w:r>
        <w:rPr>
          <w:rFonts w:hint="eastAsia" w:ascii="Times New Roman" w:hAnsi="Times New Roman" w:eastAsia="黑体" w:cstheme="minorBidi"/>
          <w:color w:val="auto"/>
          <w:kern w:val="2"/>
          <w:sz w:val="20"/>
          <w:szCs w:val="24"/>
          <w:highlight w:val="none"/>
          <w:lang w:val="en-US" w:eastAsia="zh-CN" w:bidi="ar-SA"/>
        </w:rPr>
        <w:t>（c）</w:t>
      </w:r>
      <w:r>
        <w:rPr>
          <w:rFonts w:hint="default" w:ascii="Times New Roman" w:hAnsi="Times New Roman" w:eastAsia="sans-serif" w:cs="Times New Roman"/>
          <w:lang w:val="en-US" w:eastAsia="zh-CN"/>
        </w:rPr>
        <w:t xml:space="preserve">High initial willingness </w:t>
      </w:r>
      <w:r>
        <w:rPr>
          <w:rFonts w:hint="eastAsia" w:ascii="Times New Roman" w:hAnsi="Times New Roman" w:eastAsia="黑体" w:cstheme="minorBidi"/>
          <w:color w:val="auto"/>
          <w:kern w:val="2"/>
          <w:sz w:val="20"/>
          <w:szCs w:val="24"/>
          <w:highlight w:val="none"/>
          <w:lang w:val="en-US" w:eastAsia="zh-CN" w:bidi="ar-SA"/>
        </w:rPr>
        <w:t>（0.7, 0.7, 0.8）</w:t>
      </w:r>
    </w:p>
    <w:p w14:paraId="6367693C">
      <w:pPr>
        <w:pStyle w:val="4"/>
        <w:keepNext w:val="0"/>
        <w:keepLines w:val="0"/>
        <w:widowControl/>
        <w:suppressLineNumbers w:val="0"/>
        <w:spacing w:before="0" w:beforeAutospacing="0" w:line="17" w:lineRule="atLeast"/>
        <w:jc w:val="left"/>
        <w:rPr>
          <w:rFonts w:hint="default" w:ascii="Times New Roman" w:hAnsi="Times New Roman" w:eastAsia="sans-serif" w:cs="Times New Roman"/>
        </w:rPr>
      </w:pPr>
      <w:r>
        <w:rPr>
          <w:rFonts w:hint="default" w:ascii="Times New Roman" w:hAnsi="Times New Roman" w:eastAsia="sans-serif" w:cs="Times New Roman"/>
          <w:b/>
          <w:bCs/>
          <w:lang w:val="en-US" w:eastAsia="zh-CN"/>
        </w:rPr>
        <w:t xml:space="preserve">Figure S1. </w:t>
      </w:r>
      <w:r>
        <w:rPr>
          <w:rFonts w:hint="default" w:ascii="Times New Roman" w:hAnsi="Times New Roman" w:eastAsia="sans-serif" w:cs="Times New Roman"/>
          <w:b w:val="0"/>
          <w:bCs w:val="0"/>
          <w:lang w:val="en-US" w:eastAsia="zh-CN"/>
        </w:rPr>
        <w:t>Evolutionary trajectories of the system under different initial probabilities.</w:t>
      </w:r>
      <w:r>
        <w:rPr>
          <w:rFonts w:hint="default" w:ascii="Times New Roman" w:hAnsi="Times New Roman" w:eastAsia="sans-serif" w:cs="Times New Roman"/>
          <w:lang w:val="en-US" w:eastAsia="zh-CN"/>
        </w:rPr>
        <w:t xml:space="preserve"> (a) Low initial willingness (0.3, 0.3, 0.2); (b) Medium initial willingness (0.4, 0.5, 0.6); (c) High initial willingness (0.7, 0.7, 0.8).</w:t>
      </w:r>
    </w:p>
    <w:p w14:paraId="2808FA16">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As shown in Figure S1, regardless of whether the initial participation levels of the government, enterprise, or users are low (Panel a) or high (Panel c), the system eventually converges to the same stable equilibrium point E(1,1,1) under the baseline feasible parameters. This confirms the path independence of the model: the final evolutionary outcome is determined by the structural parameters (incentives and constraints) rather than historical starting points. Although higher initial willingness accelerates the convergence speed (shortening the time to stability), it does not alter the direction of evolution.</w:t>
      </w:r>
    </w:p>
    <w:p w14:paraId="5B3D2C79">
      <w:pPr>
        <w:pStyle w:val="2"/>
        <w:keepNext w:val="0"/>
        <w:keepLines w:val="0"/>
        <w:widowControl/>
        <w:suppressLineNumbers w:val="0"/>
        <w:spacing w:before="0" w:beforeAutospacing="0" w:line="17" w:lineRule="atLeast"/>
        <w:jc w:val="left"/>
        <w:rPr>
          <w:rFonts w:hint="default" w:ascii="Times New Roman" w:hAnsi="Times New Roman" w:eastAsia="sans-serif" w:cs="Times New Roman"/>
          <w:b/>
          <w:bCs/>
          <w:lang w:val="en-US" w:eastAsia="zh-CN"/>
        </w:rPr>
      </w:pPr>
      <w:r>
        <w:rPr>
          <w:rFonts w:hint="default" w:ascii="Times New Roman" w:hAnsi="Times New Roman" w:eastAsia="sans-serif" w:cs="Times New Roman"/>
          <w:b/>
          <w:bCs/>
          <w:lang w:val="en-US" w:eastAsia="zh-CN"/>
        </w:rPr>
        <w:t>S2. Sensitivity Analysis: Impact of Government Penalty (</w:t>
      </w:r>
      <w:r>
        <w:rPr>
          <w:rFonts w:hint="default" w:ascii="Times New Roman" w:hAnsi="Times New Roman" w:eastAsia="sans-serif" w:cs="Times New Roman"/>
          <w:b/>
          <w:bCs/>
          <w:i/>
          <w:iCs/>
          <w:lang w:val="en-US" w:eastAsia="zh-CN"/>
        </w:rPr>
        <w:t>P</w:t>
      </w:r>
      <w:r>
        <w:rPr>
          <w:rFonts w:hint="default" w:ascii="Times New Roman" w:hAnsi="Times New Roman" w:eastAsia="sans-serif" w:cs="Times New Roman"/>
          <w:b/>
          <w:bCs/>
          <w:lang w:val="en-US" w:eastAsia="zh-CN"/>
        </w:rPr>
        <w:t>)</w:t>
      </w:r>
    </w:p>
    <w:p w14:paraId="192F2627">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We examined how the intensity of the government's penalty on the enterprise (</w:t>
      </w:r>
      <w:r>
        <w:rPr>
          <w:rFonts w:hint="default" w:ascii="Times New Roman" w:hAnsi="Times New Roman" w:eastAsia="sans-serif" w:cs="Times New Roman"/>
          <w:i/>
          <w:iCs/>
          <w:lang w:val="en-US" w:eastAsia="zh-CN"/>
        </w:rPr>
        <w:t>P</w:t>
      </w:r>
      <w:r>
        <w:rPr>
          <w:rFonts w:hint="default" w:ascii="Times New Roman" w:hAnsi="Times New Roman" w:eastAsia="sans-serif" w:cs="Times New Roman"/>
          <w:lang w:val="en-US" w:eastAsia="zh-CN"/>
        </w:rPr>
        <w:t>) affects the evolutionary speed of corporate compliance (</w:t>
      </w:r>
      <w:r>
        <w:rPr>
          <w:rFonts w:hint="default" w:ascii="Times New Roman" w:hAnsi="Times New Roman" w:eastAsia="sans-serif" w:cs="Times New Roman"/>
          <w:i/>
          <w:iCs/>
          <w:lang w:val="en-US" w:eastAsia="zh-CN"/>
        </w:rPr>
        <w:t>y</w:t>
      </w:r>
      <w:r>
        <w:rPr>
          <w:rFonts w:hint="default" w:ascii="Times New Roman" w:hAnsi="Times New Roman" w:eastAsia="sans-serif" w:cs="Times New Roman"/>
          <w:lang w:val="en-US" w:eastAsia="zh-CN"/>
        </w:rPr>
        <w:t>).</w:t>
      </w:r>
    </w:p>
    <w:p w14:paraId="4FEED648">
      <w:pPr>
        <w:pageBreakBefore w:val="0"/>
        <w:widowControl w:val="0"/>
        <w:numPr>
          <w:ilvl w:val="0"/>
          <w:numId w:val="0"/>
        </w:numPr>
        <w:kinsoku/>
        <w:wordWrap/>
        <w:overflowPunct/>
        <w:topLinePunct w:val="0"/>
        <w:autoSpaceDE/>
        <w:autoSpaceDN/>
        <w:bidi w:val="0"/>
        <w:adjustRightInd w:val="0"/>
        <w:snapToGrid w:val="0"/>
        <w:textAlignment w:val="auto"/>
        <w:rPr>
          <w:rFonts w:hint="eastAsia" w:ascii="Times New Roman" w:hAnsi="Times New Roman"/>
          <w:color w:val="auto"/>
          <w:sz w:val="24"/>
          <w:szCs w:val="24"/>
          <w:highlight w:val="none"/>
          <w:lang w:val="en-US" w:eastAsia="zh-CN"/>
        </w:rPr>
      </w:pPr>
      <w:r>
        <w:drawing>
          <wp:inline distT="0" distB="0" distL="114300" distR="114300">
            <wp:extent cx="2609850" cy="1800225"/>
            <wp:effectExtent l="0" t="0" r="0" b="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a:stretch>
                      <a:fillRect/>
                    </a:stretch>
                  </pic:blipFill>
                  <pic:spPr>
                    <a:xfrm>
                      <a:off x="0" y="0"/>
                      <a:ext cx="2609850" cy="1800225"/>
                    </a:xfrm>
                    <a:prstGeom prst="rect">
                      <a:avLst/>
                    </a:prstGeom>
                    <a:noFill/>
                    <a:ln>
                      <a:noFill/>
                    </a:ln>
                  </pic:spPr>
                </pic:pic>
              </a:graphicData>
            </a:graphic>
          </wp:inline>
        </w:drawing>
      </w:r>
    </w:p>
    <w:p w14:paraId="10CCF753">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bookmarkStart w:id="0" w:name="_GoBack"/>
      <w:bookmarkEnd w:id="0"/>
      <w:r>
        <w:rPr>
          <w:rFonts w:hint="default" w:ascii="Times New Roman" w:hAnsi="Times New Roman" w:eastAsia="sans-serif" w:cs="Times New Roman"/>
          <w:b/>
          <w:bCs/>
          <w:lang w:val="en-US" w:eastAsia="zh-CN"/>
        </w:rPr>
        <w:t>Figure S2.</w:t>
      </w:r>
      <w:r>
        <w:rPr>
          <w:rFonts w:hint="default" w:ascii="Times New Roman" w:hAnsi="Times New Roman" w:eastAsia="sans-serif" w:cs="Times New Roman"/>
          <w:b w:val="0"/>
          <w:bCs w:val="0"/>
          <w:lang w:val="en-US" w:eastAsia="zh-CN"/>
        </w:rPr>
        <w:t xml:space="preserve"> Sensitivity of Enterprise Compliance (y) to Government Penalty Intensity (</w:t>
      </w:r>
      <w:r>
        <w:rPr>
          <w:rFonts w:hint="default" w:ascii="Times New Roman" w:hAnsi="Times New Roman" w:eastAsia="sans-serif" w:cs="Times New Roman"/>
          <w:b w:val="0"/>
          <w:bCs w:val="0"/>
          <w:i/>
          <w:iCs/>
          <w:lang w:val="en-US" w:eastAsia="zh-CN"/>
        </w:rPr>
        <w:t>P</w:t>
      </w:r>
      <w:r>
        <w:rPr>
          <w:rFonts w:hint="default" w:ascii="Times New Roman" w:hAnsi="Times New Roman" w:eastAsia="sans-serif" w:cs="Times New Roman"/>
          <w:b w:val="0"/>
          <w:bCs w:val="0"/>
          <w:lang w:val="en-US" w:eastAsia="zh-CN"/>
        </w:rPr>
        <w:t xml:space="preserve">). </w:t>
      </w:r>
      <w:r>
        <w:rPr>
          <w:rFonts w:hint="default" w:ascii="Times New Roman" w:hAnsi="Times New Roman" w:eastAsia="sans-serif" w:cs="Times New Roman"/>
          <w:lang w:val="en-US" w:eastAsia="zh-CN"/>
        </w:rPr>
        <w:t>The curves represent the evolutionary path of corporate compliance under Low (</w:t>
      </w:r>
      <w:r>
        <w:rPr>
          <w:rFonts w:hint="default" w:ascii="Times New Roman" w:hAnsi="Times New Roman" w:eastAsia="sans-serif" w:cs="Times New Roman"/>
          <w:i/>
          <w:iCs/>
          <w:lang w:val="en-US" w:eastAsia="zh-CN"/>
        </w:rPr>
        <w:t>P</w:t>
      </w:r>
      <w:r>
        <w:rPr>
          <w:rFonts w:hint="default" w:ascii="Times New Roman" w:hAnsi="Times New Roman" w:eastAsia="sans-serif" w:cs="Times New Roman"/>
          <w:lang w:val="en-US" w:eastAsia="zh-CN"/>
        </w:rPr>
        <w:t>=6), Medium (</w:t>
      </w:r>
      <w:r>
        <w:rPr>
          <w:rFonts w:hint="default" w:ascii="Times New Roman" w:hAnsi="Times New Roman" w:eastAsia="sans-serif" w:cs="Times New Roman"/>
          <w:i/>
          <w:iCs/>
          <w:lang w:val="en-US" w:eastAsia="zh-CN"/>
        </w:rPr>
        <w:t>P</w:t>
      </w:r>
      <w:r>
        <w:rPr>
          <w:rFonts w:hint="default" w:ascii="Times New Roman" w:hAnsi="Times New Roman" w:eastAsia="sans-serif" w:cs="Times New Roman"/>
          <w:lang w:val="en-US" w:eastAsia="zh-CN"/>
        </w:rPr>
        <w:t>=12), and High (</w:t>
      </w:r>
      <w:r>
        <w:rPr>
          <w:rFonts w:hint="default" w:ascii="Times New Roman" w:hAnsi="Times New Roman" w:eastAsia="sans-serif" w:cs="Times New Roman"/>
          <w:i/>
          <w:iCs/>
          <w:lang w:val="en-US" w:eastAsia="zh-CN"/>
        </w:rPr>
        <w:t>P</w:t>
      </w:r>
      <w:r>
        <w:rPr>
          <w:rFonts w:hint="default" w:ascii="Times New Roman" w:hAnsi="Times New Roman" w:eastAsia="sans-serif" w:cs="Times New Roman"/>
          <w:lang w:val="en-US" w:eastAsia="zh-CN"/>
        </w:rPr>
        <w:t>=16) penalty levels.</w:t>
      </w:r>
    </w:p>
    <w:p w14:paraId="67D4135F">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Figure S2 demonstrates the sensitivity of the enterprise's strategy to punitive measures.</w:t>
      </w:r>
    </w:p>
    <w:p w14:paraId="23805C5A">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Low Penalty (</w:t>
      </w:r>
      <w:r>
        <w:rPr>
          <w:rFonts w:hint="default" w:ascii="Times New Roman" w:hAnsi="Times New Roman" w:eastAsia="sans-serif" w:cs="Times New Roman"/>
          <w:i/>
          <w:iCs/>
          <w:lang w:val="en-US" w:eastAsia="zh-CN"/>
        </w:rPr>
        <w:t>P</w:t>
      </w:r>
      <w:r>
        <w:rPr>
          <w:rFonts w:hint="default" w:ascii="Times New Roman" w:hAnsi="Times New Roman" w:eastAsia="sans-serif" w:cs="Times New Roman"/>
          <w:lang w:val="en-US" w:eastAsia="zh-CN"/>
        </w:rPr>
        <w:t>=6): When</w:t>
      </w:r>
      <w:r>
        <w:rPr>
          <w:rFonts w:hint="eastAsia" w:ascii="Times New Roman" w:hAnsi="Times New Roman" w:eastAsia="sans-serif" w:cs="Times New Roman"/>
          <w:lang w:val="en-US" w:eastAsia="zh-CN"/>
        </w:rPr>
        <w:t xml:space="preserve"> </w:t>
      </w:r>
      <w:r>
        <w:rPr>
          <w:rFonts w:hint="default" w:ascii="Times New Roman" w:hAnsi="Times New Roman" w:eastAsia="sans-serif" w:cs="Times New Roman"/>
          <w:i/>
          <w:iCs/>
          <w:lang w:val="en-US" w:eastAsia="zh-CN"/>
        </w:rPr>
        <w:t>P</w:t>
      </w:r>
      <w:r>
        <w:rPr>
          <w:rFonts w:hint="default" w:ascii="Times New Roman" w:hAnsi="Times New Roman" w:eastAsia="sans-serif" w:cs="Times New Roman"/>
          <w:lang w:val="en-US" w:eastAsia="zh-CN"/>
        </w:rPr>
        <w:t xml:space="preserve"> &lt; </w:t>
      </w:r>
      <w:r>
        <w:rPr>
          <w:rFonts w:hint="default" w:ascii="Times New Roman" w:hAnsi="Times New Roman" w:eastAsia="sans-serif" w:cs="Times New Roman"/>
        </w:rPr>
        <w:t>Δ</w:t>
      </w:r>
      <w:r>
        <w:rPr>
          <w:rFonts w:hint="default" w:ascii="Times New Roman" w:hAnsi="Times New Roman" w:eastAsia="sans-serif" w:cs="Times New Roman"/>
          <w:i/>
          <w:iCs/>
        </w:rPr>
        <w:t>C</w:t>
      </w:r>
      <w:r>
        <w:rPr>
          <w:rFonts w:hint="default" w:ascii="Times New Roman" w:hAnsi="Times New Roman" w:eastAsia="sans-serif" w:cs="Times New Roman"/>
          <w:lang w:val="en-US" w:eastAsia="zh-CN"/>
        </w:rPr>
        <w:t xml:space="preserve"> (Penalty is less than the profit from non-compliance), the compliance probability </w:t>
      </w:r>
      <w:r>
        <w:rPr>
          <w:rFonts w:hint="default" w:ascii="Times New Roman" w:hAnsi="Times New Roman" w:eastAsia="sans-serif" w:cs="Times New Roman"/>
          <w:i/>
          <w:iCs/>
          <w:lang w:val="en-US" w:eastAsia="zh-CN"/>
        </w:rPr>
        <w:t>y</w:t>
      </w:r>
      <w:r>
        <w:rPr>
          <w:rFonts w:hint="default" w:ascii="Times New Roman" w:hAnsi="Times New Roman" w:eastAsia="sans-serif" w:cs="Times New Roman"/>
          <w:lang w:val="en-US" w:eastAsia="zh-CN"/>
        </w:rPr>
        <w:t xml:space="preserve"> rapidly drops to 0. The penalty fails to serve as a deterrent.</w:t>
      </w:r>
    </w:p>
    <w:p w14:paraId="56EFD5B5">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High Penalty (</w:t>
      </w:r>
      <w:r>
        <w:rPr>
          <w:rFonts w:hint="default" w:ascii="Times New Roman" w:hAnsi="Times New Roman" w:eastAsia="sans-serif" w:cs="Times New Roman"/>
          <w:i/>
          <w:iCs/>
          <w:lang w:val="en-US" w:eastAsia="zh-CN"/>
        </w:rPr>
        <w:t>P</w:t>
      </w:r>
      <w:r>
        <w:rPr>
          <w:rFonts w:hint="default" w:ascii="Times New Roman" w:hAnsi="Times New Roman" w:eastAsia="sans-serif" w:cs="Times New Roman"/>
          <w:lang w:val="en-US" w:eastAsia="zh-CN"/>
        </w:rPr>
        <w:t xml:space="preserve">=16): When </w:t>
      </w:r>
      <w:r>
        <w:rPr>
          <w:rFonts w:hint="default" w:ascii="Times New Roman" w:hAnsi="Times New Roman" w:eastAsia="sans-serif" w:cs="Times New Roman"/>
          <w:i/>
          <w:iCs/>
          <w:lang w:val="en-US" w:eastAsia="zh-CN"/>
        </w:rPr>
        <w:t>P</w:t>
      </w:r>
      <w:r>
        <w:rPr>
          <w:rFonts w:hint="default" w:ascii="Times New Roman" w:hAnsi="Times New Roman" w:eastAsia="sans-serif" w:cs="Times New Roman"/>
          <w:lang w:val="en-US" w:eastAsia="zh-CN"/>
        </w:rPr>
        <w:t xml:space="preserve"> </w:t>
      </w:r>
      <w:r>
        <w:rPr>
          <w:rFonts w:hint="eastAsia" w:ascii="Times New Roman" w:hAnsi="Times New Roman" w:eastAsia="sans-serif" w:cs="Times New Roman"/>
          <w:lang w:val="en-US" w:eastAsia="zh-CN"/>
        </w:rPr>
        <w:t>&gt;</w:t>
      </w:r>
      <w:r>
        <w:rPr>
          <w:rFonts w:hint="default" w:ascii="Times New Roman" w:hAnsi="Times New Roman" w:eastAsia="sans-serif" w:cs="Times New Roman"/>
          <w:lang w:val="en-US" w:eastAsia="zh-CN"/>
        </w:rPr>
        <w:t xml:space="preserve"> </w:t>
      </w:r>
      <w:r>
        <w:rPr>
          <w:rFonts w:hint="default" w:ascii="Times New Roman" w:hAnsi="Times New Roman" w:eastAsia="sans-serif" w:cs="Times New Roman"/>
        </w:rPr>
        <w:t>Δ</w:t>
      </w:r>
      <w:r>
        <w:rPr>
          <w:rFonts w:hint="default" w:ascii="Times New Roman" w:hAnsi="Times New Roman" w:eastAsia="sans-serif" w:cs="Times New Roman"/>
          <w:i/>
          <w:iCs/>
        </w:rPr>
        <w:t>C</w:t>
      </w:r>
      <w:r>
        <w:rPr>
          <w:rFonts w:hint="default" w:ascii="Times New Roman" w:hAnsi="Times New Roman" w:eastAsia="sans-serif" w:cs="Times New Roman"/>
          <w:lang w:val="en-US" w:eastAsia="zh-CN"/>
        </w:rPr>
        <w:t>, the enterprise swiftly converges to full compliance (</w:t>
      </w:r>
      <w:r>
        <w:rPr>
          <w:rFonts w:hint="default" w:ascii="Times New Roman" w:hAnsi="Times New Roman" w:eastAsia="sans-serif" w:cs="Times New Roman"/>
          <w:i/>
          <w:iCs/>
          <w:lang w:val="en-US" w:eastAsia="zh-CN"/>
        </w:rPr>
        <w:t>y</w:t>
      </w:r>
      <w:r>
        <w:rPr>
          <w:rFonts w:hint="default" w:ascii="Times New Roman" w:hAnsi="Times New Roman" w:eastAsia="sans-serif" w:cs="Times New Roman"/>
          <w:lang w:val="en-US" w:eastAsia="zh-CN"/>
        </w:rPr>
        <w:t>=1).</w:t>
      </w:r>
    </w:p>
    <w:p w14:paraId="2A1C8600">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 xml:space="preserve">Mechanism Validation: This simulation validates the assumption in our model that effective deterrence requires the sum of government penalties and user compensation mechanisms to exceed the violation benefit. It also highlights that while increasing </w:t>
      </w:r>
      <w:r>
        <w:rPr>
          <w:rFonts w:hint="default" w:ascii="Times New Roman" w:hAnsi="Times New Roman" w:eastAsia="sans-serif" w:cs="Times New Roman"/>
          <w:i/>
          <w:iCs/>
          <w:lang w:val="en-US" w:eastAsia="zh-CN"/>
        </w:rPr>
        <w:t>P</w:t>
      </w:r>
      <w:r>
        <w:rPr>
          <w:rFonts w:hint="default" w:ascii="Times New Roman" w:hAnsi="Times New Roman" w:eastAsia="sans-serif" w:cs="Times New Roman"/>
          <w:lang w:val="en-US" w:eastAsia="zh-CN"/>
        </w:rPr>
        <w:t xml:space="preserve"> accelerates compliance, it must be paired with effective detection capabilities (as discussed in the main text's "Signal Quality" section) to be enforceable.</w:t>
      </w:r>
    </w:p>
    <w:p w14:paraId="3A956D5B">
      <w:pPr>
        <w:pStyle w:val="2"/>
        <w:keepNext w:val="0"/>
        <w:keepLines w:val="0"/>
        <w:widowControl/>
        <w:suppressLineNumbers w:val="0"/>
        <w:spacing w:before="0" w:beforeAutospacing="0" w:line="17" w:lineRule="atLeast"/>
        <w:jc w:val="left"/>
        <w:rPr>
          <w:rFonts w:hint="default" w:ascii="Times New Roman" w:hAnsi="Times New Roman" w:eastAsia="sans-serif" w:cs="Times New Roman"/>
          <w:b/>
          <w:bCs/>
          <w:lang w:val="en-US" w:eastAsia="zh-CN"/>
        </w:rPr>
      </w:pPr>
      <w:r>
        <w:rPr>
          <w:rFonts w:hint="default" w:ascii="Times New Roman" w:hAnsi="Times New Roman" w:eastAsia="sans-serif" w:cs="Times New Roman"/>
          <w:b/>
          <w:bCs/>
          <w:lang w:val="en-US" w:eastAsia="zh-CN"/>
        </w:rPr>
        <w:t>S3. Sensitivity Analysis: Impact of Non-compliance Gains (</w:t>
      </w:r>
      <w:r>
        <w:rPr>
          <w:rFonts w:hint="default" w:ascii="Times New Roman" w:hAnsi="Times New Roman" w:eastAsia="sans-serif" w:cs="Times New Roman"/>
        </w:rPr>
        <w:t>Δ</w:t>
      </w:r>
      <w:r>
        <w:rPr>
          <w:rFonts w:hint="default" w:ascii="Times New Roman" w:hAnsi="Times New Roman" w:eastAsia="sans-serif" w:cs="Times New Roman"/>
          <w:i/>
          <w:iCs/>
        </w:rPr>
        <w:t>C</w:t>
      </w:r>
      <w:r>
        <w:rPr>
          <w:rFonts w:hint="default" w:ascii="Times New Roman" w:hAnsi="Times New Roman" w:eastAsia="sans-serif" w:cs="Times New Roman"/>
          <w:b/>
          <w:bCs/>
          <w:lang w:val="en-US" w:eastAsia="zh-CN"/>
        </w:rPr>
        <w:t>)</w:t>
      </w:r>
    </w:p>
    <w:p w14:paraId="30D1FA14">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We further analyzed how the magnitude of potential cost savings from non-compliance (</w:t>
      </w:r>
      <w:r>
        <w:rPr>
          <w:rFonts w:hint="default" w:ascii="Times New Roman" w:hAnsi="Times New Roman" w:eastAsia="sans-serif" w:cs="Times New Roman"/>
        </w:rPr>
        <w:t>Δ</w:t>
      </w:r>
      <w:r>
        <w:rPr>
          <w:rFonts w:hint="default" w:ascii="Times New Roman" w:hAnsi="Times New Roman" w:eastAsia="sans-serif" w:cs="Times New Roman"/>
          <w:i/>
          <w:iCs/>
        </w:rPr>
        <w:t>C</w:t>
      </w:r>
      <w:r>
        <w:rPr>
          <w:rFonts w:hint="default" w:ascii="Times New Roman" w:hAnsi="Times New Roman" w:eastAsia="sans-serif" w:cs="Times New Roman"/>
          <w:lang w:val="en-US" w:eastAsia="zh-CN"/>
        </w:rPr>
        <w:t>) influences the resilience of the governance system.</w:t>
      </w:r>
    </w:p>
    <w:p w14:paraId="3FFCF81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color w:val="auto"/>
          <w:sz w:val="24"/>
          <w:szCs w:val="24"/>
          <w:highlight w:val="none"/>
          <w:lang w:val="en-US" w:eastAsia="zh-CN"/>
        </w:rPr>
      </w:pPr>
      <w:r>
        <w:drawing>
          <wp:inline distT="0" distB="0" distL="114300" distR="114300">
            <wp:extent cx="2609850" cy="1800225"/>
            <wp:effectExtent l="0" t="0" r="0" b="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8"/>
                    <a:stretch>
                      <a:fillRect/>
                    </a:stretch>
                  </pic:blipFill>
                  <pic:spPr>
                    <a:xfrm>
                      <a:off x="0" y="0"/>
                      <a:ext cx="2609850" cy="1800225"/>
                    </a:xfrm>
                    <a:prstGeom prst="rect">
                      <a:avLst/>
                    </a:prstGeom>
                    <a:noFill/>
                    <a:ln>
                      <a:noFill/>
                    </a:ln>
                  </pic:spPr>
                </pic:pic>
              </a:graphicData>
            </a:graphic>
          </wp:inline>
        </w:drawing>
      </w:r>
    </w:p>
    <w:p w14:paraId="51827E5B">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b/>
          <w:bCs/>
          <w:lang w:val="en-US" w:eastAsia="zh-CN"/>
        </w:rPr>
        <w:t>Figure S3.</w:t>
      </w:r>
      <w:r>
        <w:rPr>
          <w:rFonts w:hint="default" w:ascii="Times New Roman" w:hAnsi="Times New Roman" w:eastAsia="sans-serif" w:cs="Times New Roman"/>
          <w:lang w:val="en-US" w:eastAsia="zh-CN"/>
        </w:rPr>
        <w:t xml:space="preserve"> Sensitivity of Enterprise Compliance (</w:t>
      </w:r>
      <w:r>
        <w:rPr>
          <w:rFonts w:hint="default" w:ascii="Times New Roman" w:hAnsi="Times New Roman" w:eastAsia="sans-serif" w:cs="Times New Roman"/>
          <w:i/>
          <w:iCs/>
          <w:lang w:val="en-US" w:eastAsia="zh-CN"/>
        </w:rPr>
        <w:t>y</w:t>
      </w:r>
      <w:r>
        <w:rPr>
          <w:rFonts w:hint="default" w:ascii="Times New Roman" w:hAnsi="Times New Roman" w:eastAsia="sans-serif" w:cs="Times New Roman"/>
          <w:lang w:val="en-US" w:eastAsia="zh-CN"/>
        </w:rPr>
        <w:t>) to Non-compliance Cost Savings (</w:t>
      </w:r>
      <w:r>
        <w:rPr>
          <w:rFonts w:hint="default" w:ascii="Times New Roman" w:hAnsi="Times New Roman" w:eastAsia="sans-serif" w:cs="Times New Roman"/>
        </w:rPr>
        <w:t>Δ</w:t>
      </w:r>
      <w:r>
        <w:rPr>
          <w:rFonts w:hint="default" w:ascii="Times New Roman" w:hAnsi="Times New Roman" w:eastAsia="sans-serif" w:cs="Times New Roman"/>
          <w:i/>
          <w:iCs/>
        </w:rPr>
        <w:t>C</w:t>
      </w:r>
      <w:r>
        <w:rPr>
          <w:rFonts w:hint="default" w:ascii="Times New Roman" w:hAnsi="Times New Roman" w:eastAsia="sans-serif" w:cs="Times New Roman"/>
          <w:lang w:val="en-US" w:eastAsia="zh-CN"/>
        </w:rPr>
        <w:t>). Trajectories showing the impact of increasing the economic motivation for violation (</w:t>
      </w:r>
      <w:r>
        <w:rPr>
          <w:rFonts w:hint="default" w:ascii="Times New Roman" w:hAnsi="Times New Roman" w:eastAsia="sans-serif" w:cs="Times New Roman"/>
        </w:rPr>
        <w:t>Δ</w:t>
      </w:r>
      <w:r>
        <w:rPr>
          <w:rFonts w:hint="default" w:ascii="Times New Roman" w:hAnsi="Times New Roman" w:eastAsia="sans-serif" w:cs="Times New Roman"/>
          <w:i/>
          <w:iCs/>
        </w:rPr>
        <w:t>C</w:t>
      </w:r>
      <w:r>
        <w:rPr>
          <w:rFonts w:hint="default" w:ascii="Times New Roman" w:hAnsi="Times New Roman" w:eastAsia="sans-serif" w:cs="Times New Roman"/>
          <w:lang w:val="en-US" w:eastAsia="zh-CN"/>
        </w:rPr>
        <w:t xml:space="preserve"> = 10, 15, 20).</w:t>
      </w:r>
    </w:p>
    <w:p w14:paraId="46DFB8C1">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Figure S3 illustrates the economic pressure on the governance system:</w:t>
      </w:r>
    </w:p>
    <w:p w14:paraId="3DFE41E7">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Low Benefit (</w:t>
      </w:r>
      <w:r>
        <w:rPr>
          <w:rFonts w:hint="default" w:ascii="Times New Roman" w:hAnsi="Times New Roman" w:eastAsia="sans-serif" w:cs="Times New Roman"/>
        </w:rPr>
        <w:t>Δ</w:t>
      </w:r>
      <w:r>
        <w:rPr>
          <w:rFonts w:hint="default" w:ascii="Times New Roman" w:hAnsi="Times New Roman" w:eastAsia="sans-serif" w:cs="Times New Roman"/>
          <w:i/>
          <w:iCs/>
        </w:rPr>
        <w:t>C</w:t>
      </w:r>
      <w:r>
        <w:rPr>
          <w:rFonts w:hint="default" w:ascii="Times New Roman" w:hAnsi="Times New Roman" w:eastAsia="sans-serif" w:cs="Times New Roman"/>
          <w:lang w:val="en-US" w:eastAsia="zh-CN"/>
        </w:rPr>
        <w:t xml:space="preserve"> = 10): When the gain from violation is minimal, the enterprise quickly adopts a compliance strategy (</w:t>
      </w:r>
      <w:r>
        <w:rPr>
          <w:rFonts w:hint="default" w:ascii="Times New Roman" w:hAnsi="Times New Roman" w:eastAsia="sans-serif" w:cs="Times New Roman"/>
          <w:i/>
          <w:iCs/>
          <w:lang w:val="en-US" w:eastAsia="zh-CN"/>
        </w:rPr>
        <w:t>y</w:t>
      </w:r>
      <w:r>
        <w:rPr>
          <w:rFonts w:hint="default" w:ascii="Times New Roman" w:hAnsi="Times New Roman" w:eastAsia="sans-serif" w:cs="Times New Roman"/>
          <w:lang w:val="en-US" w:eastAsia="zh-CN"/>
        </w:rPr>
        <w:t>→1) due to the relative high cost of penalties.</w:t>
      </w:r>
    </w:p>
    <w:p w14:paraId="01511382">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High Benefit (</w:t>
      </w:r>
      <w:r>
        <w:rPr>
          <w:rFonts w:hint="default" w:ascii="Times New Roman" w:hAnsi="Times New Roman" w:eastAsia="sans-serif" w:cs="Times New Roman"/>
        </w:rPr>
        <w:t>Δ</w:t>
      </w:r>
      <w:r>
        <w:rPr>
          <w:rFonts w:hint="default" w:ascii="Times New Roman" w:hAnsi="Times New Roman" w:eastAsia="sans-serif" w:cs="Times New Roman"/>
          <w:i/>
          <w:iCs/>
        </w:rPr>
        <w:t>C</w:t>
      </w:r>
      <w:r>
        <w:rPr>
          <w:rFonts w:hint="default" w:ascii="Times New Roman" w:hAnsi="Times New Roman" w:eastAsia="sans-serif" w:cs="Times New Roman"/>
          <w:lang w:val="en-US" w:eastAsia="zh-CN"/>
        </w:rPr>
        <w:t xml:space="preserve"> = </w:t>
      </w:r>
      <w:r>
        <w:rPr>
          <w:rFonts w:hint="eastAsia" w:ascii="Times New Roman" w:hAnsi="Times New Roman" w:eastAsia="sans-serif" w:cs="Times New Roman"/>
          <w:lang w:val="en-US" w:eastAsia="zh-CN"/>
        </w:rPr>
        <w:t>2</w:t>
      </w:r>
      <w:r>
        <w:rPr>
          <w:rFonts w:hint="default" w:ascii="Times New Roman" w:hAnsi="Times New Roman" w:eastAsia="sans-serif" w:cs="Times New Roman"/>
          <w:lang w:val="en-US" w:eastAsia="zh-CN"/>
        </w:rPr>
        <w:t xml:space="preserve">0): When </w:t>
      </w:r>
      <w:r>
        <w:rPr>
          <w:rFonts w:hint="default" w:ascii="Times New Roman" w:hAnsi="Times New Roman" w:eastAsia="sans-serif" w:cs="Times New Roman"/>
        </w:rPr>
        <w:t>Δ</w:t>
      </w:r>
      <w:r>
        <w:rPr>
          <w:rFonts w:hint="default" w:ascii="Times New Roman" w:hAnsi="Times New Roman" w:eastAsia="sans-serif" w:cs="Times New Roman"/>
          <w:i/>
          <w:iCs/>
        </w:rPr>
        <w:t>C</w:t>
      </w:r>
      <w:r>
        <w:rPr>
          <w:rFonts w:hint="default" w:ascii="Times New Roman" w:hAnsi="Times New Roman" w:eastAsia="sans-serif" w:cs="Times New Roman"/>
          <w:lang w:val="en-US" w:eastAsia="zh-CN"/>
        </w:rPr>
        <w:t xml:space="preserve"> is significantly high (exceeding the combined threat of penalties </w:t>
      </w:r>
      <w:r>
        <w:rPr>
          <w:rFonts w:hint="default" w:ascii="Times New Roman" w:hAnsi="Times New Roman" w:eastAsia="sans-serif" w:cs="Times New Roman"/>
          <w:i/>
          <w:iCs/>
          <w:lang w:val="en-US" w:eastAsia="zh-CN"/>
        </w:rPr>
        <w:t>P</w:t>
      </w:r>
      <w:r>
        <w:rPr>
          <w:rFonts w:hint="default" w:ascii="Times New Roman" w:hAnsi="Times New Roman" w:eastAsia="sans-serif" w:cs="Times New Roman"/>
          <w:lang w:val="en-US" w:eastAsia="zh-CN"/>
        </w:rPr>
        <w:t xml:space="preserve"> and compensation </w:t>
      </w:r>
      <w:r>
        <w:rPr>
          <w:rFonts w:hint="default" w:ascii="Times New Roman" w:hAnsi="Times New Roman" w:eastAsia="sans-serif" w:cs="Times New Roman"/>
          <w:i/>
          <w:iCs/>
          <w:lang w:val="en-US" w:eastAsia="zh-CN"/>
        </w:rPr>
        <w:t>M</w:t>
      </w:r>
      <w:r>
        <w:rPr>
          <w:rFonts w:hint="default" w:ascii="Times New Roman" w:hAnsi="Times New Roman" w:eastAsia="sans-serif" w:cs="Times New Roman"/>
          <w:lang w:val="en-US" w:eastAsia="zh-CN"/>
        </w:rPr>
        <w:t>), the enterprise persists in non-compliance (</w:t>
      </w:r>
      <w:r>
        <w:rPr>
          <w:rFonts w:hint="default" w:ascii="Times New Roman" w:hAnsi="Times New Roman" w:eastAsia="sans-serif" w:cs="Times New Roman"/>
          <w:i/>
          <w:iCs/>
          <w:lang w:val="en-US" w:eastAsia="zh-CN"/>
        </w:rPr>
        <w:t>y</w:t>
      </w:r>
      <w:r>
        <w:rPr>
          <w:rFonts w:hint="default" w:ascii="Times New Roman" w:hAnsi="Times New Roman" w:eastAsia="sans-serif" w:cs="Times New Roman"/>
          <w:lang w:val="en-US" w:eastAsia="zh-CN"/>
        </w:rPr>
        <w:t>→</w:t>
      </w:r>
      <w:r>
        <w:rPr>
          <w:rFonts w:hint="eastAsia" w:ascii="Times New Roman" w:hAnsi="Times New Roman" w:eastAsia="sans-serif" w:cs="Times New Roman"/>
          <w:lang w:val="en-US" w:eastAsia="zh-CN"/>
        </w:rPr>
        <w:t>0</w:t>
      </w:r>
      <w:r>
        <w:rPr>
          <w:rFonts w:hint="default" w:ascii="Times New Roman" w:hAnsi="Times New Roman" w:eastAsia="sans-serif" w:cs="Times New Roman"/>
          <w:lang w:val="en-US" w:eastAsia="zh-CN"/>
        </w:rPr>
        <w:t>) despite regulatory efforts.</w:t>
      </w:r>
    </w:p>
    <w:p w14:paraId="4E2982F5">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Implication: This result underscores the limitation of purely punitive approaches. If the economic incentive for cyber-violation is too high (e.g., in high-stakes data theft), standard penalties may be insufficient, necessitating the "high-precision" verification mechanism proposed in the main text to increase the certainty of punishment rather than just the severity.</w:t>
      </w:r>
    </w:p>
    <w:p w14:paraId="51F502A8">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p>
    <w:p w14:paraId="266487D8">
      <w:pPr>
        <w:pStyle w:val="4"/>
        <w:keepNext w:val="0"/>
        <w:keepLines w:val="0"/>
        <w:widowControl/>
        <w:suppressLineNumbers w:val="0"/>
        <w:spacing w:before="0" w:beforeAutospacing="0" w:line="17" w:lineRule="atLeast"/>
        <w:jc w:val="left"/>
        <w:rPr>
          <w:rFonts w:hint="default" w:ascii="Times New Roman" w:hAnsi="Times New Roman" w:eastAsia="sans-serif"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91283"/>
    <w:rsid w:val="0DAC4F98"/>
    <w:rsid w:val="21CE6705"/>
    <w:rsid w:val="2F340546"/>
    <w:rsid w:val="43D33931"/>
    <w:rsid w:val="6693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679</Words>
  <Characters>3691</Characters>
  <Lines>0</Lines>
  <Paragraphs>0</Paragraphs>
  <TotalTime>11</TotalTime>
  <ScaleCrop>false</ScaleCrop>
  <LinksUpToDate>false</LinksUpToDate>
  <CharactersWithSpaces>4285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2026-01-11T22:18:00Z</dcterms:created>
  <dc:creator>99625</dc:creator>
  <cp:lastModifiedBy>Wonwoo</cp:lastModifiedBy>
  <dcterms:modified xsi:type="dcterms:W3CDTF">2026-01-13T09:06:47Z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eyJoZGlkIjoiOTc3M2Y5NzIzMDFlZjAyY2Q4Njk5ODkyYjFjNzBiNTQiLCJ1c2VySWQiOiIyODY2NzUxNDIifQ==</vt:lpwstr>
  </property>
  <property fmtid="{D5CDD505-2E9C-101B-9397-08002B2CF9AE}" pid="4" name="ICV">
    <vt:lpwstr>CAD6B73D9B9D48669620A7B2F7EAE58D_13</vt:lpwstr>
  </property>
</Properties>
</file>