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99EC3F" w14:textId="428D5A19" w:rsidR="00EE2DC3" w:rsidRPr="00EE2DC3" w:rsidRDefault="00EE2DC3" w:rsidP="00EE2DC3">
      <w:pPr>
        <w:tabs>
          <w:tab w:val="left" w:pos="851"/>
        </w:tabs>
        <w:jc w:val="center"/>
        <w:rPr>
          <w:rFonts w:ascii="Times New Roman" w:hAnsi="Times New Roman" w:cs="Times New Roman"/>
          <w:b/>
          <w:sz w:val="24"/>
          <w:szCs w:val="24"/>
        </w:rPr>
      </w:pPr>
      <w:r>
        <w:rPr>
          <w:rFonts w:ascii="Times New Roman" w:hAnsi="Times New Roman" w:cs="Times New Roman"/>
          <w:b/>
          <w:sz w:val="24"/>
          <w:szCs w:val="24"/>
        </w:rPr>
        <w:t>M</w:t>
      </w:r>
      <w:r w:rsidRPr="008D3FC3">
        <w:rPr>
          <w:rFonts w:ascii="Times New Roman" w:hAnsi="Times New Roman" w:cs="Times New Roman"/>
          <w:b/>
          <w:sz w:val="24"/>
          <w:szCs w:val="24"/>
        </w:rPr>
        <w:t>aternal alcohol use, adverse neonatal outcomes and pregnancy complications in British Columbia, Canada</w:t>
      </w:r>
      <w:r>
        <w:rPr>
          <w:rFonts w:ascii="Times New Roman" w:hAnsi="Times New Roman" w:cs="Times New Roman"/>
          <w:b/>
          <w:sz w:val="24"/>
          <w:szCs w:val="24"/>
        </w:rPr>
        <w:t>: A population-based study</w:t>
      </w:r>
    </w:p>
    <w:p w14:paraId="1AEEECC0" w14:textId="77777777" w:rsidR="00EE2DC3" w:rsidRDefault="00EE2DC3" w:rsidP="00EE2DC3">
      <w:pPr>
        <w:rPr>
          <w:rFonts w:ascii="Times New Roman" w:hAnsi="Times New Roman" w:cs="Times New Roman"/>
          <w:b/>
          <w:bCs/>
          <w:sz w:val="24"/>
          <w:szCs w:val="24"/>
        </w:rPr>
      </w:pPr>
    </w:p>
    <w:p w14:paraId="478030F2" w14:textId="09374B6D" w:rsidR="002D7D36" w:rsidRPr="00EE2DC3" w:rsidRDefault="00593802" w:rsidP="00EE2DC3">
      <w:pPr>
        <w:rPr>
          <w:rFonts w:ascii="Times New Roman" w:hAnsi="Times New Roman" w:cs="Times New Roman"/>
          <w:sz w:val="24"/>
          <w:szCs w:val="24"/>
        </w:rPr>
      </w:pPr>
      <w:r>
        <w:rPr>
          <w:rFonts w:ascii="Times New Roman" w:hAnsi="Times New Roman" w:cs="Times New Roman"/>
          <w:b/>
          <w:bCs/>
          <w:sz w:val="24"/>
          <w:szCs w:val="24"/>
        </w:rPr>
        <w:t>Additional File 2</w:t>
      </w:r>
      <w:r w:rsidR="00EE2DC3">
        <w:rPr>
          <w:rFonts w:ascii="Times New Roman" w:hAnsi="Times New Roman" w:cs="Times New Roman"/>
          <w:b/>
          <w:bCs/>
          <w:sz w:val="24"/>
          <w:szCs w:val="24"/>
        </w:rPr>
        <w:t>.</w:t>
      </w:r>
      <w:r w:rsidR="001D330D" w:rsidRPr="001D330D">
        <w:rPr>
          <w:rFonts w:ascii="Times New Roman" w:hAnsi="Times New Roman" w:cs="Times New Roman"/>
          <w:b/>
          <w:bCs/>
          <w:sz w:val="24"/>
          <w:szCs w:val="24"/>
        </w:rPr>
        <w:t xml:space="preserve"> </w:t>
      </w:r>
      <w:r w:rsidR="000D7A28" w:rsidRPr="00EE2DC3">
        <w:rPr>
          <w:rFonts w:ascii="Times New Roman" w:hAnsi="Times New Roman" w:cs="Times New Roman"/>
          <w:sz w:val="24"/>
          <w:szCs w:val="24"/>
        </w:rPr>
        <w:t>Supporting Information for</w:t>
      </w:r>
      <w:r w:rsidR="001D330D" w:rsidRPr="00EE2DC3">
        <w:rPr>
          <w:rFonts w:ascii="Times New Roman" w:hAnsi="Times New Roman" w:cs="Times New Roman"/>
          <w:sz w:val="24"/>
          <w:szCs w:val="24"/>
        </w:rPr>
        <w:t xml:space="preserve"> Methodolog</w:t>
      </w:r>
      <w:r w:rsidR="004164B0">
        <w:rPr>
          <w:rFonts w:ascii="Times New Roman" w:hAnsi="Times New Roman" w:cs="Times New Roman"/>
          <w:sz w:val="24"/>
          <w:szCs w:val="24"/>
        </w:rPr>
        <w:t>y</w:t>
      </w:r>
    </w:p>
    <w:p w14:paraId="702E1E39" w14:textId="21DC2A45" w:rsidR="001D330D" w:rsidRPr="00EE2DC3" w:rsidRDefault="001D330D">
      <w:pPr>
        <w:rPr>
          <w:rFonts w:ascii="Times New Roman" w:hAnsi="Times New Roman" w:cs="Times New Roman"/>
          <w:i/>
          <w:iCs/>
          <w:sz w:val="24"/>
          <w:szCs w:val="24"/>
        </w:rPr>
      </w:pPr>
      <w:r>
        <w:rPr>
          <w:rFonts w:ascii="Times New Roman" w:hAnsi="Times New Roman" w:cs="Times New Roman"/>
          <w:sz w:val="24"/>
          <w:szCs w:val="24"/>
        </w:rPr>
        <w:br/>
      </w:r>
      <w:r w:rsidRPr="00EE2DC3">
        <w:rPr>
          <w:rFonts w:ascii="Times New Roman" w:hAnsi="Times New Roman" w:cs="Times New Roman"/>
          <w:i/>
          <w:iCs/>
          <w:sz w:val="24"/>
          <w:szCs w:val="24"/>
        </w:rPr>
        <w:t>Maternal and neonatal records</w:t>
      </w:r>
    </w:p>
    <w:p w14:paraId="755D764D" w14:textId="3330BF78" w:rsidR="001D330D" w:rsidRPr="001D330D" w:rsidRDefault="001D330D">
      <w:pPr>
        <w:rPr>
          <w:rFonts w:ascii="Times New Roman" w:hAnsi="Times New Roman" w:cs="Times New Roman"/>
          <w:sz w:val="24"/>
          <w:szCs w:val="24"/>
        </w:rPr>
      </w:pPr>
      <w:r w:rsidRPr="001D330D">
        <w:rPr>
          <w:rFonts w:ascii="Times New Roman" w:hAnsi="Times New Roman" w:cs="Times New Roman"/>
          <w:sz w:val="24"/>
          <w:szCs w:val="24"/>
        </w:rPr>
        <w:t>Data were merged for maternal and neonatal variables such that maternal and newborn records contained all respective discharge records and diagnoses. The data were then stacked using a linkage key to link neonatal records to respective mothers. For non-singleton pregnancies, a unique record was created for each non-singleton birth by linking individual neonatal records to respective mothers using the maternal linkage key. Data cleaning was done in accordance with PSBC standard protocol.</w:t>
      </w:r>
    </w:p>
    <w:p w14:paraId="68037482" w14:textId="06EFB4BF" w:rsidR="001D330D" w:rsidRPr="00EE2DC3" w:rsidRDefault="001D330D">
      <w:pPr>
        <w:rPr>
          <w:rFonts w:ascii="Times New Roman" w:hAnsi="Times New Roman" w:cs="Times New Roman"/>
          <w:sz w:val="24"/>
          <w:szCs w:val="24"/>
        </w:rPr>
      </w:pPr>
    </w:p>
    <w:p w14:paraId="34F5C40D" w14:textId="10543D9B" w:rsidR="001D330D" w:rsidRPr="00EE2DC3" w:rsidRDefault="001D330D">
      <w:pPr>
        <w:rPr>
          <w:rFonts w:ascii="Times New Roman" w:hAnsi="Times New Roman" w:cs="Times New Roman"/>
          <w:i/>
          <w:iCs/>
          <w:sz w:val="24"/>
          <w:szCs w:val="24"/>
        </w:rPr>
      </w:pPr>
      <w:r w:rsidRPr="00EE2DC3">
        <w:rPr>
          <w:rFonts w:ascii="Times New Roman" w:hAnsi="Times New Roman" w:cs="Times New Roman"/>
          <w:i/>
          <w:iCs/>
          <w:sz w:val="24"/>
          <w:szCs w:val="24"/>
        </w:rPr>
        <w:t>Data cleaning steps</w:t>
      </w:r>
    </w:p>
    <w:p w14:paraId="06E46F45" w14:textId="77777777" w:rsidR="001D330D" w:rsidRPr="001D330D" w:rsidRDefault="001D330D">
      <w:pPr>
        <w:rPr>
          <w:rFonts w:ascii="Times New Roman" w:hAnsi="Times New Roman" w:cs="Times New Roman"/>
          <w:sz w:val="24"/>
          <w:szCs w:val="24"/>
        </w:rPr>
      </w:pPr>
      <w:r w:rsidRPr="001D330D">
        <w:rPr>
          <w:rFonts w:ascii="Times New Roman" w:hAnsi="Times New Roman" w:cs="Times New Roman"/>
          <w:sz w:val="24"/>
          <w:szCs w:val="24"/>
        </w:rPr>
        <w:t xml:space="preserve">Alcohol as a risk factor was coded as yes or no, such that no was an amalgamation of no, null, or not documented. Binge drinking was coded as yes, no, unknown or not available. </w:t>
      </w:r>
    </w:p>
    <w:p w14:paraId="0ACC19B6" w14:textId="048D6C4F" w:rsidR="001D330D" w:rsidRPr="001D330D" w:rsidRDefault="001D330D">
      <w:pPr>
        <w:rPr>
          <w:rFonts w:ascii="Times New Roman" w:hAnsi="Times New Roman" w:cs="Times New Roman"/>
          <w:sz w:val="24"/>
          <w:szCs w:val="24"/>
        </w:rPr>
      </w:pPr>
      <w:r w:rsidRPr="001D330D">
        <w:rPr>
          <w:rFonts w:ascii="Times New Roman" w:hAnsi="Times New Roman" w:cs="Times New Roman"/>
          <w:sz w:val="24"/>
          <w:szCs w:val="24"/>
        </w:rPr>
        <w:t>Substance use as a risk factor was coded as yes or no, such that no was an amalgamation of no, null, or not documented.</w:t>
      </w:r>
    </w:p>
    <w:p w14:paraId="4080B5B1" w14:textId="7CEFA7F4" w:rsidR="001D330D" w:rsidRPr="001D330D" w:rsidRDefault="001D330D">
      <w:pPr>
        <w:rPr>
          <w:rFonts w:ascii="Times New Roman" w:eastAsia="Calibri" w:hAnsi="Times New Roman" w:cs="Times New Roman"/>
          <w:sz w:val="24"/>
          <w:szCs w:val="24"/>
        </w:rPr>
      </w:pPr>
      <w:r w:rsidRPr="001D330D">
        <w:rPr>
          <w:rFonts w:ascii="Times New Roman" w:eastAsia="Calibri" w:hAnsi="Times New Roman" w:cs="Times New Roman"/>
          <w:sz w:val="24"/>
          <w:szCs w:val="24"/>
        </w:rPr>
        <w:t>If the mother had reported smoking only prior to the current pregnancy and did not smoke during the current pregnancy, she was considered a ‘former smoker’. Otherwise, if the mother did not report smoking, she was considered a ‘never smoker’.</w:t>
      </w:r>
    </w:p>
    <w:p w14:paraId="110B47AF" w14:textId="74BCC9BF" w:rsidR="001D330D" w:rsidRPr="001D330D" w:rsidRDefault="001D330D">
      <w:pPr>
        <w:rPr>
          <w:rFonts w:ascii="Times New Roman" w:eastAsia="Calibri" w:hAnsi="Times New Roman" w:cs="Times New Roman"/>
          <w:sz w:val="24"/>
          <w:szCs w:val="24"/>
        </w:rPr>
      </w:pPr>
      <w:r w:rsidRPr="001D330D">
        <w:rPr>
          <w:rFonts w:ascii="Times New Roman" w:eastAsia="Calibri" w:hAnsi="Times New Roman" w:cs="Times New Roman"/>
          <w:sz w:val="24"/>
          <w:szCs w:val="24"/>
        </w:rPr>
        <w:t>For the following covariates: prior neonatal death, stillbirths, previous low birthweight and/or major congenital anomalies; maternal history of any mental illness; second-hand smoke exposure; and administration of oxygen, intermittent positive pressure ventilation (IPPV) mask and chest compression for resuscitation</w:t>
      </w:r>
      <w:r w:rsidR="00701BCF">
        <w:rPr>
          <w:rFonts w:ascii="Times New Roman" w:eastAsia="Calibri" w:hAnsi="Times New Roman" w:cs="Times New Roman"/>
          <w:sz w:val="24"/>
          <w:szCs w:val="24"/>
        </w:rPr>
        <w:t>.</w:t>
      </w:r>
      <w:r w:rsidRPr="001D330D">
        <w:rPr>
          <w:rFonts w:ascii="Times New Roman" w:eastAsia="Calibri" w:hAnsi="Times New Roman" w:cs="Times New Roman"/>
          <w:sz w:val="24"/>
          <w:szCs w:val="24"/>
        </w:rPr>
        <w:t xml:space="preserve"> These covariates were coded as yes or no, such that no was an amalgamation of no, null or not documented.  Drugs used for resuscitation or stabilization were both operationalized as “yes”, “no” or “unknown”.</w:t>
      </w:r>
    </w:p>
    <w:p w14:paraId="5797CE8C" w14:textId="37B48C19" w:rsidR="001D330D" w:rsidRPr="001D330D" w:rsidRDefault="001D330D">
      <w:pPr>
        <w:rPr>
          <w:rFonts w:ascii="Times New Roman" w:eastAsia="Calibri" w:hAnsi="Times New Roman" w:cs="Times New Roman"/>
          <w:sz w:val="24"/>
          <w:szCs w:val="24"/>
        </w:rPr>
      </w:pPr>
      <w:r w:rsidRPr="001D330D">
        <w:rPr>
          <w:rFonts w:ascii="Times New Roman" w:eastAsia="Calibri" w:hAnsi="Times New Roman" w:cs="Times New Roman"/>
          <w:sz w:val="24"/>
          <w:szCs w:val="24"/>
        </w:rPr>
        <w:t>For each adverse neonatal outcome (listed in Appendix S1), if the neonatal records contained the ICD-10 code of the adverse outcome, the coding was yes; otherwise it was no.  A woman was considered as having IUGR if during the antenatal period the fetal weight, estimated by ultrasound, was &lt;10th percentile and/or abdominal circumference was &lt;10th percentile for gestational age.</w:t>
      </w:r>
    </w:p>
    <w:p w14:paraId="70753C0F" w14:textId="77777777" w:rsidR="001D330D" w:rsidRPr="001D330D" w:rsidRDefault="001D330D">
      <w:pPr>
        <w:rPr>
          <w:rFonts w:ascii="Times New Roman" w:hAnsi="Times New Roman" w:cs="Times New Roman"/>
          <w:sz w:val="24"/>
          <w:szCs w:val="24"/>
        </w:rPr>
      </w:pPr>
    </w:p>
    <w:p w14:paraId="5BDE483B" w14:textId="77777777" w:rsidR="001D330D" w:rsidRPr="001D330D" w:rsidRDefault="001D330D">
      <w:pPr>
        <w:rPr>
          <w:rFonts w:ascii="Times New Roman" w:hAnsi="Times New Roman" w:cs="Times New Roman"/>
          <w:sz w:val="24"/>
          <w:szCs w:val="24"/>
        </w:rPr>
      </w:pPr>
    </w:p>
    <w:sectPr w:rsidR="001D330D" w:rsidRPr="001D33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30D"/>
    <w:rsid w:val="000D7A28"/>
    <w:rsid w:val="001D330D"/>
    <w:rsid w:val="002708F3"/>
    <w:rsid w:val="002D7D36"/>
    <w:rsid w:val="004164B0"/>
    <w:rsid w:val="0043347F"/>
    <w:rsid w:val="005157AF"/>
    <w:rsid w:val="00593802"/>
    <w:rsid w:val="00701BCF"/>
    <w:rsid w:val="00EE2DC3"/>
    <w:rsid w:val="00F11025"/>
    <w:rsid w:val="00F64F4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E69CB"/>
  <w15:chartTrackingRefBased/>
  <w15:docId w15:val="{8589404C-18D9-479D-A6D8-152238DB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33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33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Dozet</dc:creator>
  <cp:keywords/>
  <dc:description/>
  <cp:lastModifiedBy>Danijela Dozet</cp:lastModifiedBy>
  <cp:revision>3</cp:revision>
  <dcterms:created xsi:type="dcterms:W3CDTF">2020-10-16T13:45:00Z</dcterms:created>
  <dcterms:modified xsi:type="dcterms:W3CDTF">2020-10-16T13:45:00Z</dcterms:modified>
</cp:coreProperties>
</file>