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C73D1">
      <w:pPr>
        <w:pStyle w:val="156"/>
      </w:pPr>
      <w:r>
        <w:t>STROBE Statement—checklist of items that should be included in reports of observational studies</w:t>
      </w:r>
    </w:p>
    <w:p w14:paraId="3E3ABB27">
      <w:pPr>
        <w:pStyle w:val="156"/>
      </w:pPr>
    </w:p>
    <w:tbl>
      <w:tblPr>
        <w:tblStyle w:val="75"/>
        <w:tblW w:w="14992"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196"/>
        <w:gridCol w:w="705"/>
        <w:gridCol w:w="1815"/>
        <w:gridCol w:w="855"/>
        <w:gridCol w:w="10421"/>
      </w:tblGrid>
      <w:tr w14:paraId="1320DC8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22DEE10F">
            <w:pPr>
              <w:tabs>
                <w:tab w:val="left" w:pos="5400"/>
              </w:tabs>
              <w:rPr>
                <w:sz w:val="20"/>
              </w:rPr>
            </w:pPr>
            <w:bookmarkStart w:id="0" w:name="bold1" w:colFirst="1" w:colLast="1"/>
            <w:bookmarkStart w:id="1" w:name="italic2" w:colFirst="1" w:colLast="1"/>
            <w:bookmarkStart w:id="2" w:name="italic3" w:colFirst="2" w:colLast="2"/>
            <w:bookmarkStart w:id="3" w:name="bold2" w:colFirst="2" w:colLast="2"/>
            <w:bookmarkStart w:id="4" w:name="bold3" w:colFirst="3" w:colLast="3"/>
            <w:bookmarkStart w:id="5" w:name="italic4" w:colFirst="3" w:colLast="3"/>
            <w:bookmarkStart w:id="6" w:name="bold4" w:colFirst="4" w:colLast="4"/>
            <w:bookmarkStart w:id="7" w:name="italic1" w:colFirst="0" w:colLast="0"/>
            <w:bookmarkStart w:id="8" w:name="italic5" w:colFirst="4" w:colLast="4"/>
          </w:p>
        </w:tc>
        <w:tc>
          <w:tcPr>
            <w:tcW w:w="705" w:type="dxa"/>
          </w:tcPr>
          <w:p w14:paraId="4E341B5D">
            <w:pPr>
              <w:pStyle w:val="166"/>
              <w:tabs>
                <w:tab w:val="left" w:pos="5400"/>
              </w:tabs>
              <w:jc w:val="center"/>
              <w:rPr>
                <w:bCs/>
                <w:sz w:val="20"/>
              </w:rPr>
            </w:pPr>
            <w:r>
              <w:rPr>
                <w:bCs/>
                <w:sz w:val="20"/>
              </w:rPr>
              <w:t>Item No.</w:t>
            </w:r>
          </w:p>
        </w:tc>
        <w:tc>
          <w:tcPr>
            <w:tcW w:w="1815" w:type="dxa"/>
            <w:vAlign w:val="bottom"/>
          </w:tcPr>
          <w:p w14:paraId="0B3D962E">
            <w:pPr>
              <w:pStyle w:val="166"/>
              <w:tabs>
                <w:tab w:val="left" w:pos="5400"/>
              </w:tabs>
              <w:jc w:val="center"/>
              <w:rPr>
                <w:bCs/>
                <w:sz w:val="20"/>
                <w:highlight w:val="none"/>
              </w:rPr>
            </w:pPr>
            <w:r>
              <w:rPr>
                <w:bCs/>
                <w:sz w:val="20"/>
                <w:highlight w:val="none"/>
              </w:rPr>
              <w:t>Recommendation</w:t>
            </w:r>
          </w:p>
        </w:tc>
        <w:tc>
          <w:tcPr>
            <w:tcW w:w="855" w:type="dxa"/>
          </w:tcPr>
          <w:p w14:paraId="06FBA3B8">
            <w:pPr>
              <w:pStyle w:val="166"/>
              <w:tabs>
                <w:tab w:val="left" w:pos="5400"/>
              </w:tabs>
              <w:jc w:val="center"/>
              <w:rPr>
                <w:bCs/>
                <w:sz w:val="20"/>
                <w:highlight w:val="none"/>
              </w:rPr>
            </w:pPr>
            <w:r>
              <w:rPr>
                <w:bCs/>
                <w:sz w:val="20"/>
                <w:highlight w:val="none"/>
              </w:rPr>
              <w:t xml:space="preserve">Page </w:t>
            </w:r>
            <w:r>
              <w:rPr>
                <w:bCs/>
                <w:sz w:val="20"/>
                <w:highlight w:val="none"/>
              </w:rPr>
              <w:br w:type="textWrapping"/>
            </w:r>
            <w:r>
              <w:rPr>
                <w:bCs/>
                <w:sz w:val="20"/>
                <w:highlight w:val="none"/>
              </w:rPr>
              <w:t>No.</w:t>
            </w:r>
          </w:p>
        </w:tc>
        <w:tc>
          <w:tcPr>
            <w:tcW w:w="10421" w:type="dxa"/>
          </w:tcPr>
          <w:p w14:paraId="41842CF6">
            <w:pPr>
              <w:pStyle w:val="166"/>
              <w:tabs>
                <w:tab w:val="left" w:pos="5400"/>
              </w:tabs>
              <w:jc w:val="center"/>
              <w:rPr>
                <w:bCs/>
                <w:sz w:val="20"/>
              </w:rPr>
            </w:pPr>
            <w:r>
              <w:rPr>
                <w:bCs/>
                <w:sz w:val="20"/>
              </w:rPr>
              <w:t>Relevant text from manuscript</w:t>
            </w:r>
          </w:p>
        </w:tc>
      </w:tr>
      <w:bookmarkEnd w:id="0"/>
      <w:bookmarkEnd w:id="1"/>
      <w:bookmarkEnd w:id="2"/>
      <w:bookmarkEnd w:id="3"/>
      <w:bookmarkEnd w:id="4"/>
      <w:bookmarkEnd w:id="5"/>
      <w:bookmarkEnd w:id="6"/>
      <w:bookmarkEnd w:id="7"/>
      <w:bookmarkEnd w:id="8"/>
      <w:tr w14:paraId="030051D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restart"/>
          </w:tcPr>
          <w:p w14:paraId="1D313147">
            <w:pPr>
              <w:tabs>
                <w:tab w:val="left" w:pos="5400"/>
              </w:tabs>
              <w:rPr>
                <w:b/>
                <w:bCs/>
                <w:sz w:val="20"/>
              </w:rPr>
            </w:pPr>
            <w:bookmarkStart w:id="9" w:name="italic6"/>
            <w:bookmarkStart w:id="10" w:name="bold5"/>
            <w:r>
              <w:rPr>
                <w:b/>
                <w:sz w:val="20"/>
              </w:rPr>
              <w:t>Title and abstract</w:t>
            </w:r>
            <w:bookmarkEnd w:id="9"/>
            <w:bookmarkEnd w:id="10"/>
          </w:p>
        </w:tc>
        <w:tc>
          <w:tcPr>
            <w:tcW w:w="705" w:type="dxa"/>
            <w:vMerge w:val="restart"/>
          </w:tcPr>
          <w:p w14:paraId="446CFFC0">
            <w:pPr>
              <w:tabs>
                <w:tab w:val="left" w:pos="5400"/>
              </w:tabs>
              <w:jc w:val="center"/>
              <w:rPr>
                <w:sz w:val="20"/>
              </w:rPr>
            </w:pPr>
            <w:r>
              <w:rPr>
                <w:sz w:val="20"/>
              </w:rPr>
              <w:t>1</w:t>
            </w:r>
          </w:p>
        </w:tc>
        <w:tc>
          <w:tcPr>
            <w:tcW w:w="1815" w:type="dxa"/>
          </w:tcPr>
          <w:p w14:paraId="5E85E134">
            <w:pPr>
              <w:tabs>
                <w:tab w:val="left" w:pos="5400"/>
              </w:tabs>
              <w:rPr>
                <w:sz w:val="20"/>
                <w:highlight w:val="none"/>
              </w:rPr>
            </w:pPr>
            <w:r>
              <w:rPr>
                <w:sz w:val="20"/>
                <w:highlight w:val="none"/>
              </w:rPr>
              <w:t>(</w:t>
            </w:r>
            <w:r>
              <w:rPr>
                <w:i/>
                <w:sz w:val="20"/>
                <w:highlight w:val="none"/>
              </w:rPr>
              <w:t>a</w:t>
            </w:r>
            <w:r>
              <w:rPr>
                <w:sz w:val="20"/>
                <w:highlight w:val="none"/>
              </w:rPr>
              <w:t>) Indicate the study’s design with a commonly used term in the title or the abstract</w:t>
            </w:r>
          </w:p>
        </w:tc>
        <w:tc>
          <w:tcPr>
            <w:tcW w:w="855" w:type="dxa"/>
            <w:vAlign w:val="center"/>
          </w:tcPr>
          <w:p w14:paraId="7D354BE3">
            <w:pPr>
              <w:keepNext w:val="0"/>
              <w:keepLines w:val="0"/>
              <w:widowControl/>
              <w:suppressLineNumbers w:val="0"/>
              <w:jc w:val="center"/>
              <w:textAlignment w:val="center"/>
              <w:rPr>
                <w:sz w:val="20"/>
                <w:highlight w:val="none"/>
              </w:rPr>
            </w:pPr>
            <w:r>
              <w:rPr>
                <w:rFonts w:hint="default" w:ascii="Arial" w:hAnsi="Arial" w:eastAsia="等线" w:cs="Arial"/>
                <w:i w:val="0"/>
                <w:iCs w:val="0"/>
                <w:color w:val="333333"/>
                <w:kern w:val="0"/>
                <w:sz w:val="20"/>
                <w:szCs w:val="20"/>
                <w:highlight w:val="none"/>
                <w:u w:val="none"/>
                <w:lang w:val="en-US" w:eastAsia="zh-CN" w:bidi="ar"/>
              </w:rPr>
              <w:t>1</w:t>
            </w:r>
          </w:p>
        </w:tc>
        <w:tc>
          <w:tcPr>
            <w:tcW w:w="10421" w:type="dxa"/>
            <w:vAlign w:val="center"/>
          </w:tcPr>
          <w:p w14:paraId="77033FE4">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Knowledge, Attitudes, Practices</w:t>
            </w:r>
            <w:r>
              <w:rPr>
                <w:rFonts w:hint="eastAsia" w:ascii="Arial" w:hAnsi="Arial" w:eastAsia="等线" w:cs="Arial"/>
                <w:i w:val="0"/>
                <w:iCs w:val="0"/>
                <w:color w:val="333333"/>
                <w:kern w:val="0"/>
                <w:sz w:val="20"/>
                <w:szCs w:val="20"/>
                <w:u w:val="none"/>
                <w:lang w:val="en-US" w:eastAsia="zh-CN" w:bidi="ar"/>
              </w:rPr>
              <w:t xml:space="preserve"> Intention</w:t>
            </w:r>
            <w:r>
              <w:rPr>
                <w:rFonts w:hint="default" w:ascii="Arial" w:hAnsi="Arial" w:eastAsia="等线" w:cs="Arial"/>
                <w:i w:val="0"/>
                <w:iCs w:val="0"/>
                <w:color w:val="333333"/>
                <w:kern w:val="0"/>
                <w:sz w:val="20"/>
                <w:szCs w:val="20"/>
                <w:u w:val="none"/>
                <w:lang w:val="en-US" w:eastAsia="zh-CN" w:bidi="ar"/>
              </w:rPr>
              <w:t>, and Barriers Toward Bystander Cardiopulmonary Resuscitation in Resource-Limited Settings: A Multi-National Cross-Sectional Survey</w:t>
            </w:r>
          </w:p>
        </w:tc>
      </w:tr>
      <w:tr w14:paraId="6762B6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60D200E6">
            <w:pPr>
              <w:tabs>
                <w:tab w:val="left" w:pos="5400"/>
              </w:tabs>
              <w:rPr>
                <w:bCs/>
                <w:sz w:val="20"/>
              </w:rPr>
            </w:pPr>
            <w:bookmarkStart w:id="11" w:name="italic7" w:colFirst="0" w:colLast="0"/>
            <w:bookmarkStart w:id="12" w:name="bold6" w:colFirst="0" w:colLast="0"/>
          </w:p>
        </w:tc>
        <w:tc>
          <w:tcPr>
            <w:tcW w:w="705" w:type="dxa"/>
            <w:vMerge w:val="continue"/>
          </w:tcPr>
          <w:p w14:paraId="4D1F8A7C">
            <w:pPr>
              <w:tabs>
                <w:tab w:val="left" w:pos="5400"/>
              </w:tabs>
              <w:jc w:val="center"/>
              <w:rPr>
                <w:sz w:val="20"/>
              </w:rPr>
            </w:pPr>
          </w:p>
        </w:tc>
        <w:tc>
          <w:tcPr>
            <w:tcW w:w="1815" w:type="dxa"/>
          </w:tcPr>
          <w:p w14:paraId="3597C6EA">
            <w:pPr>
              <w:tabs>
                <w:tab w:val="left" w:pos="5400"/>
              </w:tabs>
              <w:rPr>
                <w:sz w:val="20"/>
                <w:highlight w:val="none"/>
              </w:rPr>
            </w:pPr>
            <w:r>
              <w:rPr>
                <w:sz w:val="20"/>
                <w:highlight w:val="none"/>
              </w:rPr>
              <w:t>(</w:t>
            </w:r>
            <w:r>
              <w:rPr>
                <w:i/>
                <w:sz w:val="20"/>
                <w:highlight w:val="none"/>
              </w:rPr>
              <w:t>b</w:t>
            </w:r>
            <w:r>
              <w:rPr>
                <w:sz w:val="20"/>
                <w:highlight w:val="none"/>
              </w:rPr>
              <w:t>) Provide in the abstract an informative and balanced summary of what was done and what was found</w:t>
            </w:r>
          </w:p>
        </w:tc>
        <w:tc>
          <w:tcPr>
            <w:tcW w:w="855" w:type="dxa"/>
            <w:vAlign w:val="center"/>
          </w:tcPr>
          <w:p w14:paraId="454C95C0">
            <w:pPr>
              <w:keepNext w:val="0"/>
              <w:keepLines w:val="0"/>
              <w:widowControl/>
              <w:suppressLineNumbers w:val="0"/>
              <w:jc w:val="center"/>
              <w:textAlignment w:val="center"/>
              <w:rPr>
                <w:sz w:val="20"/>
                <w:highlight w:val="none"/>
              </w:rPr>
            </w:pPr>
            <w:r>
              <w:rPr>
                <w:rFonts w:hint="default" w:ascii="Arial" w:hAnsi="Arial" w:eastAsia="等线" w:cs="Arial"/>
                <w:i w:val="0"/>
                <w:iCs w:val="0"/>
                <w:color w:val="333333"/>
                <w:kern w:val="0"/>
                <w:sz w:val="20"/>
                <w:szCs w:val="20"/>
                <w:highlight w:val="none"/>
                <w:u w:val="none"/>
                <w:lang w:val="en-US" w:eastAsia="zh-CN" w:bidi="ar"/>
              </w:rPr>
              <w:t>1</w:t>
            </w:r>
          </w:p>
        </w:tc>
        <w:tc>
          <w:tcPr>
            <w:tcW w:w="10421" w:type="dxa"/>
            <w:vAlign w:val="center"/>
          </w:tcPr>
          <w:p w14:paraId="497CB3EB">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 xml:space="preserve"> Results: Among 1,792 respondents (mean age 38.4 ± 12.6 years, 50.6% male), 40.1% had heard of CPR, but only 13.3% had received CPR training. The mean CPR knowledge score was 1.68/4, over 40% answered "not sure" to all items. Attitudes toward performing CPR were most favorable for a child (58.5%), yet only 31.8% would perform chest compressions in an emergency scenario. The most frequently mentioned barriers were lack of CPR skills (46.4%), fear of disease transmission (18.6%), and fear of causing harm (18.0%). Nationality, CPR awareness, prior CPR training, educational attainment, and occupation were independently associated with knowledge score (adjusted R² = 0.338).</w:t>
            </w:r>
          </w:p>
        </w:tc>
      </w:tr>
      <w:bookmarkEnd w:id="11"/>
      <w:bookmarkEnd w:id="12"/>
      <w:tr w14:paraId="2C38E90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571" w:type="dxa"/>
            <w:gridSpan w:val="4"/>
          </w:tcPr>
          <w:p w14:paraId="2BC55FF5">
            <w:pPr>
              <w:pStyle w:val="168"/>
              <w:tabs>
                <w:tab w:val="left" w:pos="5400"/>
              </w:tabs>
              <w:rPr>
                <w:sz w:val="20"/>
                <w:highlight w:val="none"/>
              </w:rPr>
            </w:pPr>
            <w:bookmarkStart w:id="13" w:name="italic8"/>
            <w:bookmarkStart w:id="14" w:name="bold7"/>
            <w:r>
              <w:rPr>
                <w:sz w:val="20"/>
                <w:highlight w:val="none"/>
              </w:rPr>
              <w:t>Introduction</w:t>
            </w:r>
          </w:p>
          <w:bookmarkEnd w:id="13"/>
          <w:bookmarkEnd w:id="14"/>
        </w:tc>
        <w:tc>
          <w:tcPr>
            <w:tcW w:w="10421" w:type="dxa"/>
          </w:tcPr>
          <w:p w14:paraId="00BD2379">
            <w:pPr>
              <w:pStyle w:val="168"/>
              <w:tabs>
                <w:tab w:val="left" w:pos="5400"/>
              </w:tabs>
              <w:rPr>
                <w:sz w:val="20"/>
              </w:rPr>
            </w:pPr>
          </w:p>
        </w:tc>
      </w:tr>
      <w:tr w14:paraId="1799B60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02EDA8D7">
            <w:pPr>
              <w:tabs>
                <w:tab w:val="left" w:pos="5400"/>
              </w:tabs>
              <w:rPr>
                <w:bCs/>
                <w:sz w:val="20"/>
              </w:rPr>
            </w:pPr>
            <w:bookmarkStart w:id="15" w:name="bold8"/>
            <w:bookmarkStart w:id="16" w:name="italic9"/>
            <w:r>
              <w:rPr>
                <w:bCs/>
                <w:sz w:val="20"/>
              </w:rPr>
              <w:t>Background/</w:t>
            </w:r>
            <w:bookmarkEnd w:id="15"/>
            <w:bookmarkEnd w:id="16"/>
            <w:bookmarkStart w:id="17" w:name="italic10"/>
            <w:bookmarkStart w:id="18" w:name="bold9"/>
            <w:r>
              <w:rPr>
                <w:bCs/>
                <w:sz w:val="20"/>
              </w:rPr>
              <w:t>rationale</w:t>
            </w:r>
            <w:bookmarkEnd w:id="17"/>
            <w:bookmarkEnd w:id="18"/>
          </w:p>
        </w:tc>
        <w:tc>
          <w:tcPr>
            <w:tcW w:w="705" w:type="dxa"/>
          </w:tcPr>
          <w:p w14:paraId="46E6B081">
            <w:pPr>
              <w:tabs>
                <w:tab w:val="left" w:pos="5400"/>
              </w:tabs>
              <w:jc w:val="center"/>
              <w:rPr>
                <w:sz w:val="20"/>
              </w:rPr>
            </w:pPr>
            <w:r>
              <w:rPr>
                <w:sz w:val="20"/>
              </w:rPr>
              <w:t>2</w:t>
            </w:r>
          </w:p>
        </w:tc>
        <w:tc>
          <w:tcPr>
            <w:tcW w:w="1815" w:type="dxa"/>
          </w:tcPr>
          <w:p w14:paraId="703ED57F">
            <w:pPr>
              <w:tabs>
                <w:tab w:val="left" w:pos="5400"/>
              </w:tabs>
              <w:rPr>
                <w:sz w:val="20"/>
                <w:highlight w:val="none"/>
              </w:rPr>
            </w:pPr>
            <w:r>
              <w:rPr>
                <w:sz w:val="20"/>
                <w:highlight w:val="none"/>
              </w:rPr>
              <w:t>Explain the scientific background and rationale for the investigation being reported</w:t>
            </w:r>
          </w:p>
        </w:tc>
        <w:tc>
          <w:tcPr>
            <w:tcW w:w="855" w:type="dxa"/>
            <w:vAlign w:val="center"/>
          </w:tcPr>
          <w:p w14:paraId="759B1536">
            <w:pPr>
              <w:keepNext w:val="0"/>
              <w:keepLines w:val="0"/>
              <w:widowControl/>
              <w:suppressLineNumbers w:val="0"/>
              <w:wordWrap/>
              <w:jc w:val="center"/>
              <w:textAlignment w:val="center"/>
              <w:rPr>
                <w:sz w:val="20"/>
                <w:highlight w:val="none"/>
              </w:rPr>
            </w:pPr>
            <w:r>
              <w:rPr>
                <w:rFonts w:hint="eastAsia" w:ascii="Arial" w:hAnsi="Arial" w:eastAsia="宋体" w:cs="Arial"/>
                <w:b w:val="0"/>
                <w:bCs w:val="0"/>
                <w:i w:val="0"/>
                <w:iCs w:val="0"/>
                <w:color w:val="333333"/>
                <w:kern w:val="0"/>
                <w:sz w:val="20"/>
                <w:szCs w:val="20"/>
                <w:highlight w:val="none"/>
                <w:lang w:val="en-US" w:eastAsia="zh-CN" w:bidi="ar"/>
              </w:rPr>
              <w:t>1,</w:t>
            </w:r>
            <w:r>
              <w:rPr>
                <w:rFonts w:hint="default" w:ascii="Arial" w:hAnsi="Arial" w:eastAsia="宋体" w:cs="Arial"/>
                <w:b w:val="0"/>
                <w:bCs w:val="0"/>
                <w:i w:val="0"/>
                <w:iCs w:val="0"/>
                <w:color w:val="333333"/>
                <w:kern w:val="0"/>
                <w:sz w:val="20"/>
                <w:szCs w:val="20"/>
                <w:highlight w:val="none"/>
                <w:lang w:val="en-US" w:eastAsia="zh-CN" w:bidi="ar"/>
              </w:rPr>
              <w:t>2</w:t>
            </w:r>
          </w:p>
        </w:tc>
        <w:tc>
          <w:tcPr>
            <w:tcW w:w="10421" w:type="dxa"/>
            <w:vAlign w:val="center"/>
          </w:tcPr>
          <w:p w14:paraId="43CF1172">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Out-of-hospital cardiac arrest (OHCA) constitutes a major public health burden worldwide, contributing substantially to mortality and disability [1,2]. Timely recognition of OHCA and immediate initiation of high-quality cardiopulmonary resuscitation (CPR) are critical interventions for improving long-term survival and neurological outcomes [3,4]. Evidence demonstrates that initiating effective chest compressions and ventilation within the first few minutes after cardiac arrest can increase the likelihood of survival two- to four-fold [5]. Although the American Heart Association (AHA) has long promoted public CPR education, the overall coverage of public CPR training remains low worldwide, with marked regional disparities [6]. In some developed European countries, CPR training rates among the general public reach as high as 60% [7,8]. In contrast, the situation in Africa is far from satisfactory [9]. Multiple factors constrain public CPR knowledge dissemination in this region, including limited healthcare resources, insufficient public health investment, and a scarcity of epidemiological data. Existing single-center, small-sample studies have further confirmed that public awareness of CPR is generally low across Africa. Notably, even among healthcare professionals with advanced medical knowledge, CPR knowledge remains at a low-to-moderate level [10–13]. However, in resource-limited settings across sub-Saharan Africa, large-scale surveys on community-level CPR knowledge, attitudes, practices</w:t>
            </w:r>
            <w:r>
              <w:rPr>
                <w:rFonts w:hint="eastAsia" w:ascii="Arial" w:hAnsi="Arial" w:eastAsia="宋体" w:cs="Arial"/>
                <w:b w:val="0"/>
                <w:bCs w:val="0"/>
                <w:i w:val="0"/>
                <w:iCs w:val="0"/>
                <w:color w:val="333333"/>
                <w:kern w:val="0"/>
                <w:sz w:val="20"/>
                <w:szCs w:val="20"/>
                <w:lang w:val="en-US" w:eastAsia="zh-CN" w:bidi="ar"/>
              </w:rPr>
              <w:t xml:space="preserve"> intention</w:t>
            </w:r>
            <w:r>
              <w:rPr>
                <w:rFonts w:hint="default" w:ascii="Arial" w:hAnsi="Arial" w:eastAsia="宋体" w:cs="Arial"/>
                <w:b w:val="0"/>
                <w:bCs w:val="0"/>
                <w:i w:val="0"/>
                <w:iCs w:val="0"/>
                <w:color w:val="333333"/>
                <w:kern w:val="0"/>
                <w:sz w:val="20"/>
                <w:szCs w:val="20"/>
                <w:lang w:val="en-US" w:eastAsia="zh-CN" w:bidi="ar"/>
              </w:rPr>
              <w:t>, and barriers to</w:t>
            </w:r>
            <w:bookmarkStart w:id="96" w:name="_GoBack"/>
            <w:bookmarkEnd w:id="96"/>
            <w:r>
              <w:rPr>
                <w:rFonts w:hint="default" w:ascii="Arial" w:hAnsi="Arial" w:eastAsia="宋体" w:cs="Arial"/>
                <w:b w:val="0"/>
                <w:bCs w:val="0"/>
                <w:i w:val="0"/>
                <w:iCs w:val="0"/>
                <w:color w:val="333333"/>
                <w:kern w:val="0"/>
                <w:sz w:val="20"/>
                <w:szCs w:val="20"/>
                <w:lang w:val="en-US" w:eastAsia="zh-CN" w:bidi="ar"/>
              </w:rPr>
              <w:t xml:space="preserve"> performing CPR remain scarce. Public willingness to undergo CPR training is also poorly characterized. Consequently, the baseline emergency response capacity of local populations is poorly characterized, and their potential as first-aid responders has not been effectively mobilized. [14].</w:t>
            </w:r>
          </w:p>
        </w:tc>
      </w:tr>
      <w:tr w14:paraId="3BFA5D9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7AF0BC87">
            <w:pPr>
              <w:tabs>
                <w:tab w:val="left" w:pos="5400"/>
              </w:tabs>
              <w:rPr>
                <w:bCs/>
                <w:sz w:val="20"/>
              </w:rPr>
            </w:pPr>
            <w:bookmarkStart w:id="19" w:name="bold10" w:colFirst="0" w:colLast="0"/>
            <w:bookmarkStart w:id="20" w:name="italic11" w:colFirst="0" w:colLast="0"/>
            <w:r>
              <w:rPr>
                <w:bCs/>
                <w:sz w:val="20"/>
              </w:rPr>
              <w:t>Objectives</w:t>
            </w:r>
          </w:p>
        </w:tc>
        <w:tc>
          <w:tcPr>
            <w:tcW w:w="705" w:type="dxa"/>
          </w:tcPr>
          <w:p w14:paraId="5EFC8C83">
            <w:pPr>
              <w:tabs>
                <w:tab w:val="left" w:pos="5400"/>
              </w:tabs>
              <w:jc w:val="center"/>
              <w:rPr>
                <w:sz w:val="20"/>
              </w:rPr>
            </w:pPr>
            <w:r>
              <w:rPr>
                <w:sz w:val="20"/>
              </w:rPr>
              <w:t>3</w:t>
            </w:r>
          </w:p>
        </w:tc>
        <w:tc>
          <w:tcPr>
            <w:tcW w:w="1815" w:type="dxa"/>
          </w:tcPr>
          <w:p w14:paraId="4EB2B59A">
            <w:pPr>
              <w:tabs>
                <w:tab w:val="left" w:pos="5400"/>
              </w:tabs>
              <w:rPr>
                <w:sz w:val="20"/>
                <w:highlight w:val="none"/>
              </w:rPr>
            </w:pPr>
            <w:r>
              <w:rPr>
                <w:sz w:val="20"/>
                <w:highlight w:val="none"/>
              </w:rPr>
              <w:t>State specific objectives, including any prespecified hypotheses</w:t>
            </w:r>
          </w:p>
        </w:tc>
        <w:tc>
          <w:tcPr>
            <w:tcW w:w="855" w:type="dxa"/>
            <w:vAlign w:val="center"/>
          </w:tcPr>
          <w:p w14:paraId="43432934">
            <w:pPr>
              <w:keepNext w:val="0"/>
              <w:keepLines w:val="0"/>
              <w:widowControl/>
              <w:suppressLineNumbers w:val="0"/>
              <w:wordWrap/>
              <w:jc w:val="center"/>
              <w:textAlignment w:val="center"/>
              <w:rPr>
                <w:sz w:val="20"/>
                <w:highlight w:val="none"/>
              </w:rPr>
            </w:pPr>
            <w:r>
              <w:rPr>
                <w:rFonts w:hint="default" w:ascii="Arial" w:hAnsi="Arial" w:eastAsia="宋体" w:cs="Arial"/>
                <w:b w:val="0"/>
                <w:bCs w:val="0"/>
                <w:i w:val="0"/>
                <w:iCs w:val="0"/>
                <w:color w:val="333333"/>
                <w:kern w:val="0"/>
                <w:sz w:val="20"/>
                <w:szCs w:val="20"/>
                <w:highlight w:val="none"/>
                <w:lang w:val="en-US" w:eastAsia="zh-CN" w:bidi="ar"/>
              </w:rPr>
              <w:t>2</w:t>
            </w:r>
          </w:p>
        </w:tc>
        <w:tc>
          <w:tcPr>
            <w:tcW w:w="10421" w:type="dxa"/>
            <w:vAlign w:val="center"/>
          </w:tcPr>
          <w:p w14:paraId="293D35F4">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This study aimed to: (1) systematically assess CPR knowledge, attitudes to perform CPR, practices</w:t>
            </w:r>
            <w:r>
              <w:rPr>
                <w:rFonts w:hint="eastAsia" w:ascii="Arial" w:hAnsi="Arial" w:eastAsia="宋体" w:cs="Arial"/>
                <w:b w:val="0"/>
                <w:bCs w:val="0"/>
                <w:i w:val="0"/>
                <w:iCs w:val="0"/>
                <w:color w:val="333333"/>
                <w:kern w:val="0"/>
                <w:sz w:val="20"/>
                <w:szCs w:val="20"/>
                <w:lang w:val="en-US" w:eastAsia="zh-CN" w:bidi="ar"/>
              </w:rPr>
              <w:t xml:space="preserve"> intention</w:t>
            </w:r>
            <w:r>
              <w:rPr>
                <w:rFonts w:hint="default" w:ascii="Arial" w:hAnsi="Arial" w:eastAsia="宋体" w:cs="Arial"/>
                <w:b w:val="0"/>
                <w:bCs w:val="0"/>
                <w:i w:val="0"/>
                <w:iCs w:val="0"/>
                <w:color w:val="333333"/>
                <w:kern w:val="0"/>
                <w:sz w:val="20"/>
                <w:szCs w:val="20"/>
                <w:lang w:val="en-US" w:eastAsia="zh-CN" w:bidi="ar"/>
              </w:rPr>
              <w:t xml:space="preserve">, and barriers to </w:t>
            </w:r>
            <w:r>
              <w:rPr>
                <w:rFonts w:hint="eastAsia" w:ascii="Arial" w:hAnsi="Arial" w:eastAsia="宋体" w:cs="Arial"/>
                <w:b w:val="0"/>
                <w:bCs w:val="0"/>
                <w:i w:val="0"/>
                <w:iCs w:val="0"/>
                <w:color w:val="333333"/>
                <w:kern w:val="0"/>
                <w:sz w:val="20"/>
                <w:szCs w:val="20"/>
                <w:lang w:val="en-US" w:eastAsia="zh-CN" w:bidi="ar"/>
              </w:rPr>
              <w:t>bystander</w:t>
            </w:r>
            <w:r>
              <w:rPr>
                <w:rFonts w:hint="default" w:ascii="Arial" w:hAnsi="Arial" w:eastAsia="宋体" w:cs="Arial"/>
                <w:b w:val="0"/>
                <w:bCs w:val="0"/>
                <w:i w:val="0"/>
                <w:iCs w:val="0"/>
                <w:color w:val="333333"/>
                <w:kern w:val="0"/>
                <w:sz w:val="20"/>
                <w:szCs w:val="20"/>
                <w:lang w:val="en-US" w:eastAsia="zh-CN" w:bidi="ar"/>
              </w:rPr>
              <w:t xml:space="preserve"> CPR among community residents across six African countries; (2) compare these outcomes across population subgroups with different demographic characteristics; and (3) identify sociodemographic factors and CPR-related experiences associated with CPR knowledge; and (4) provide an evidence base for developing differentiated CPR education programs and optimizing CPR training resource allocation in resource-limited African settings.</w:t>
            </w:r>
          </w:p>
        </w:tc>
      </w:tr>
      <w:bookmarkEnd w:id="19"/>
      <w:bookmarkEnd w:id="20"/>
      <w:tr w14:paraId="4435C85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571" w:type="dxa"/>
            <w:gridSpan w:val="4"/>
          </w:tcPr>
          <w:p w14:paraId="43C3726E">
            <w:pPr>
              <w:pStyle w:val="168"/>
              <w:tabs>
                <w:tab w:val="left" w:pos="5400"/>
              </w:tabs>
              <w:rPr>
                <w:sz w:val="20"/>
                <w:highlight w:val="none"/>
              </w:rPr>
            </w:pPr>
            <w:bookmarkStart w:id="21" w:name="italic12"/>
            <w:bookmarkStart w:id="22" w:name="bold11"/>
            <w:r>
              <w:rPr>
                <w:sz w:val="20"/>
                <w:highlight w:val="none"/>
              </w:rPr>
              <w:t>Methods</w:t>
            </w:r>
          </w:p>
          <w:bookmarkEnd w:id="21"/>
          <w:bookmarkEnd w:id="22"/>
        </w:tc>
        <w:tc>
          <w:tcPr>
            <w:tcW w:w="10421" w:type="dxa"/>
          </w:tcPr>
          <w:p w14:paraId="1BE3DC80">
            <w:pPr>
              <w:pStyle w:val="168"/>
              <w:tabs>
                <w:tab w:val="left" w:pos="5400"/>
              </w:tabs>
              <w:rPr>
                <w:sz w:val="20"/>
              </w:rPr>
            </w:pPr>
          </w:p>
        </w:tc>
      </w:tr>
      <w:tr w14:paraId="5736ADF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1CC7908B">
            <w:pPr>
              <w:tabs>
                <w:tab w:val="left" w:pos="5400"/>
              </w:tabs>
              <w:rPr>
                <w:bCs/>
                <w:sz w:val="20"/>
              </w:rPr>
            </w:pPr>
            <w:bookmarkStart w:id="23" w:name="italic13" w:colFirst="0" w:colLast="0"/>
            <w:bookmarkStart w:id="24" w:name="bold12" w:colFirst="0" w:colLast="0"/>
            <w:r>
              <w:rPr>
                <w:bCs/>
                <w:sz w:val="20"/>
              </w:rPr>
              <w:t>Study design</w:t>
            </w:r>
          </w:p>
        </w:tc>
        <w:tc>
          <w:tcPr>
            <w:tcW w:w="705" w:type="dxa"/>
          </w:tcPr>
          <w:p w14:paraId="5309D81A">
            <w:pPr>
              <w:tabs>
                <w:tab w:val="left" w:pos="5400"/>
              </w:tabs>
              <w:jc w:val="center"/>
              <w:rPr>
                <w:sz w:val="20"/>
              </w:rPr>
            </w:pPr>
            <w:r>
              <w:rPr>
                <w:sz w:val="20"/>
              </w:rPr>
              <w:t>4</w:t>
            </w:r>
          </w:p>
        </w:tc>
        <w:tc>
          <w:tcPr>
            <w:tcW w:w="1815" w:type="dxa"/>
          </w:tcPr>
          <w:p w14:paraId="5AFC60AA">
            <w:pPr>
              <w:tabs>
                <w:tab w:val="left" w:pos="5400"/>
              </w:tabs>
              <w:rPr>
                <w:sz w:val="20"/>
                <w:highlight w:val="none"/>
              </w:rPr>
            </w:pPr>
            <w:r>
              <w:rPr>
                <w:sz w:val="20"/>
                <w:highlight w:val="none"/>
              </w:rPr>
              <w:t>Present key elements of study design early in the paper</w:t>
            </w:r>
          </w:p>
        </w:tc>
        <w:tc>
          <w:tcPr>
            <w:tcW w:w="855" w:type="dxa"/>
            <w:vAlign w:val="center"/>
          </w:tcPr>
          <w:p w14:paraId="615E12F1">
            <w:pPr>
              <w:keepNext w:val="0"/>
              <w:keepLines w:val="0"/>
              <w:widowControl/>
              <w:suppressLineNumbers w:val="0"/>
              <w:wordWrap/>
              <w:jc w:val="center"/>
              <w:textAlignment w:val="center"/>
              <w:rPr>
                <w:rFonts w:hint="eastAsia" w:eastAsia="宋体"/>
                <w:sz w:val="20"/>
                <w:highlight w:val="none"/>
                <w:lang w:val="en-US" w:eastAsia="zh-CN"/>
              </w:rPr>
            </w:pPr>
            <w:r>
              <w:rPr>
                <w:rFonts w:hint="eastAsia" w:eastAsia="宋体"/>
                <w:sz w:val="20"/>
                <w:highlight w:val="none"/>
                <w:lang w:val="en-US" w:eastAsia="zh-CN"/>
              </w:rPr>
              <w:t>2</w:t>
            </w:r>
          </w:p>
        </w:tc>
        <w:tc>
          <w:tcPr>
            <w:tcW w:w="10421" w:type="dxa"/>
            <w:vAlign w:val="center"/>
          </w:tcPr>
          <w:p w14:paraId="4CAD669D">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This study was a multi-</w:t>
            </w:r>
            <w:r>
              <w:rPr>
                <w:rFonts w:hint="eastAsia" w:ascii="Arial" w:hAnsi="Arial" w:eastAsia="宋体" w:cs="Arial"/>
                <w:b w:val="0"/>
                <w:bCs w:val="0"/>
                <w:i w:val="0"/>
                <w:iCs w:val="0"/>
                <w:color w:val="333333"/>
                <w:kern w:val="0"/>
                <w:sz w:val="20"/>
                <w:szCs w:val="20"/>
                <w:lang w:val="en-US" w:eastAsia="zh-CN" w:bidi="ar"/>
              </w:rPr>
              <w:t>national</w:t>
            </w:r>
            <w:r>
              <w:rPr>
                <w:rFonts w:hint="default" w:ascii="Arial" w:hAnsi="Arial" w:eastAsia="宋体" w:cs="Arial"/>
                <w:b w:val="0"/>
                <w:bCs w:val="0"/>
                <w:i w:val="0"/>
                <w:iCs w:val="0"/>
                <w:color w:val="333333"/>
                <w:kern w:val="0"/>
                <w:sz w:val="20"/>
                <w:szCs w:val="20"/>
                <w:lang w:val="en-US" w:eastAsia="zh-CN" w:bidi="ar"/>
              </w:rPr>
              <w:t>, community-based cross-sectional survey, and the manuscript was prepared in accordance with the Strengthening the Reporting of Observational Studies in Epidemiology (STROBE) Statement. The survey was conducted between August and October 2024 in urban communities across six African countries. The specific survey cities were Cape Town (South Africa), Luanda (Angola), Pointe-Noire (the Republic of the Congo), Libreville (Gabon), Douala (Cameroon), and Cotonou (Benin). This study was approved by the Institutional Review Board of the Naval Medical University (Ethics Approval Number: NMUMREC-2023-022)</w:t>
            </w:r>
          </w:p>
        </w:tc>
      </w:tr>
      <w:bookmarkEnd w:id="23"/>
      <w:bookmarkEnd w:id="24"/>
      <w:tr w14:paraId="39D3594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5F2D0634">
            <w:pPr>
              <w:tabs>
                <w:tab w:val="left" w:pos="5400"/>
              </w:tabs>
              <w:rPr>
                <w:bCs/>
                <w:sz w:val="20"/>
              </w:rPr>
            </w:pPr>
            <w:bookmarkStart w:id="25" w:name="bold13" w:colFirst="0" w:colLast="0"/>
            <w:bookmarkStart w:id="26" w:name="italic14" w:colFirst="0" w:colLast="0"/>
            <w:r>
              <w:rPr>
                <w:bCs/>
                <w:sz w:val="20"/>
              </w:rPr>
              <w:t>Setting</w:t>
            </w:r>
          </w:p>
        </w:tc>
        <w:tc>
          <w:tcPr>
            <w:tcW w:w="705" w:type="dxa"/>
          </w:tcPr>
          <w:p w14:paraId="3AE33727">
            <w:pPr>
              <w:tabs>
                <w:tab w:val="left" w:pos="5400"/>
              </w:tabs>
              <w:jc w:val="center"/>
              <w:rPr>
                <w:sz w:val="20"/>
              </w:rPr>
            </w:pPr>
            <w:r>
              <w:rPr>
                <w:sz w:val="20"/>
              </w:rPr>
              <w:t>5</w:t>
            </w:r>
          </w:p>
        </w:tc>
        <w:tc>
          <w:tcPr>
            <w:tcW w:w="1815" w:type="dxa"/>
          </w:tcPr>
          <w:p w14:paraId="241660B4">
            <w:pPr>
              <w:tabs>
                <w:tab w:val="left" w:pos="5400"/>
              </w:tabs>
              <w:rPr>
                <w:sz w:val="20"/>
                <w:highlight w:val="none"/>
              </w:rPr>
            </w:pPr>
            <w:r>
              <w:rPr>
                <w:sz w:val="20"/>
                <w:highlight w:val="none"/>
              </w:rPr>
              <w:t>Describe the setting, locations, and relevant dates, including periods of recruitment, exposure, follow-up, and data collection</w:t>
            </w:r>
          </w:p>
        </w:tc>
        <w:tc>
          <w:tcPr>
            <w:tcW w:w="855" w:type="dxa"/>
            <w:vAlign w:val="center"/>
          </w:tcPr>
          <w:p w14:paraId="46BB599B">
            <w:pPr>
              <w:keepNext w:val="0"/>
              <w:keepLines w:val="0"/>
              <w:widowControl/>
              <w:suppressLineNumbers w:val="0"/>
              <w:wordWrap/>
              <w:jc w:val="center"/>
              <w:textAlignment w:val="center"/>
              <w:rPr>
                <w:sz w:val="20"/>
                <w:highlight w:val="none"/>
              </w:rPr>
            </w:pPr>
            <w:r>
              <w:rPr>
                <w:rFonts w:hint="eastAsia" w:ascii="Arial" w:hAnsi="Arial" w:eastAsia="宋体" w:cs="Arial"/>
                <w:b w:val="0"/>
                <w:bCs w:val="0"/>
                <w:i w:val="0"/>
                <w:iCs w:val="0"/>
                <w:color w:val="333333"/>
                <w:kern w:val="0"/>
                <w:sz w:val="20"/>
                <w:szCs w:val="20"/>
                <w:highlight w:val="none"/>
                <w:lang w:val="en-US" w:eastAsia="zh-CN" w:bidi="ar"/>
              </w:rPr>
              <w:t>2</w:t>
            </w:r>
          </w:p>
        </w:tc>
        <w:tc>
          <w:tcPr>
            <w:tcW w:w="10421" w:type="dxa"/>
            <w:vAlign w:val="center"/>
          </w:tcPr>
          <w:p w14:paraId="5EBC5F47">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The survey was conducted between August and October 2024 in urban communities across six African countries. The specific survey cities were Cape Town (South Africa), Luanda (Angola), Pointe-Noire (the Republic of the Congo), Libreville (Gabon), Douala (Cameroon), and Cotonou (Benin).</w:t>
            </w:r>
          </w:p>
        </w:tc>
      </w:tr>
      <w:bookmarkEnd w:id="25"/>
      <w:bookmarkEnd w:id="26"/>
      <w:tr w14:paraId="3A84A93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restart"/>
          </w:tcPr>
          <w:p w14:paraId="7DC126D0">
            <w:pPr>
              <w:tabs>
                <w:tab w:val="left" w:pos="5400"/>
              </w:tabs>
              <w:rPr>
                <w:bCs/>
                <w:sz w:val="20"/>
              </w:rPr>
            </w:pPr>
            <w:r>
              <w:rPr>
                <w:bCs/>
                <w:sz w:val="20"/>
              </w:rPr>
              <w:t>Participants</w:t>
            </w:r>
          </w:p>
        </w:tc>
        <w:tc>
          <w:tcPr>
            <w:tcW w:w="705" w:type="dxa"/>
            <w:vMerge w:val="restart"/>
          </w:tcPr>
          <w:p w14:paraId="48AF0E43">
            <w:pPr>
              <w:tabs>
                <w:tab w:val="left" w:pos="5400"/>
              </w:tabs>
              <w:jc w:val="center"/>
              <w:rPr>
                <w:sz w:val="20"/>
              </w:rPr>
            </w:pPr>
            <w:r>
              <w:rPr>
                <w:sz w:val="20"/>
              </w:rPr>
              <w:t>6</w:t>
            </w:r>
          </w:p>
        </w:tc>
        <w:tc>
          <w:tcPr>
            <w:tcW w:w="1815" w:type="dxa"/>
          </w:tcPr>
          <w:p w14:paraId="7C7839D2">
            <w:pPr>
              <w:tabs>
                <w:tab w:val="left" w:pos="5400"/>
              </w:tabs>
              <w:rPr>
                <w:sz w:val="20"/>
                <w:highlight w:val="none"/>
              </w:rPr>
            </w:pPr>
            <w:r>
              <w:rPr>
                <w:sz w:val="20"/>
                <w:highlight w:val="none"/>
              </w:rPr>
              <w:t>(</w:t>
            </w:r>
            <w:r>
              <w:rPr>
                <w:i/>
                <w:sz w:val="20"/>
                <w:highlight w:val="none"/>
              </w:rPr>
              <w:t>a</w:t>
            </w:r>
            <w:r>
              <w:rPr>
                <w:sz w:val="20"/>
                <w:highlight w:val="none"/>
              </w:rPr>
              <w:t>)</w:t>
            </w:r>
            <w:r>
              <w:rPr>
                <w:i/>
                <w:sz w:val="20"/>
                <w:highlight w:val="none"/>
              </w:rPr>
              <w:t>Cross-sectional study</w:t>
            </w:r>
            <w:r>
              <w:rPr>
                <w:sz w:val="20"/>
                <w:highlight w:val="none"/>
              </w:rPr>
              <w:t>—Give the eligibility criteria, and the sources and methods of selection of participants</w:t>
            </w:r>
          </w:p>
        </w:tc>
        <w:tc>
          <w:tcPr>
            <w:tcW w:w="855" w:type="dxa"/>
            <w:vAlign w:val="center"/>
          </w:tcPr>
          <w:p w14:paraId="3E940AF5">
            <w:pPr>
              <w:keepNext w:val="0"/>
              <w:keepLines w:val="0"/>
              <w:widowControl/>
              <w:suppressLineNumbers w:val="0"/>
              <w:wordWrap/>
              <w:jc w:val="center"/>
              <w:textAlignment w:val="center"/>
              <w:rPr>
                <w:rFonts w:hint="default"/>
                <w:sz w:val="20"/>
                <w:highlight w:val="none"/>
                <w:lang w:val="en-US"/>
              </w:rPr>
            </w:pPr>
            <w:r>
              <w:rPr>
                <w:rFonts w:hint="eastAsia" w:ascii="Arial" w:hAnsi="Arial" w:eastAsia="宋体" w:cs="Arial"/>
                <w:b w:val="0"/>
                <w:bCs w:val="0"/>
                <w:i w:val="0"/>
                <w:iCs w:val="0"/>
                <w:color w:val="333333"/>
                <w:kern w:val="0"/>
                <w:sz w:val="20"/>
                <w:szCs w:val="20"/>
                <w:highlight w:val="none"/>
                <w:lang w:val="en-US" w:eastAsia="zh-CN" w:bidi="ar"/>
              </w:rPr>
              <w:t>2,3</w:t>
            </w:r>
          </w:p>
        </w:tc>
        <w:tc>
          <w:tcPr>
            <w:tcW w:w="10421" w:type="dxa"/>
            <w:vAlign w:val="center"/>
          </w:tcPr>
          <w:p w14:paraId="200A49F5">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Convenience sampling was used in this study. Participants were recruited from outpatient waiting areas of healthcare facilities in each survey city. Eligible individuals who met the inclusion and exclusion criteria were enrolled for one-on-one questionnaire interviews. Participants aged 13 years and above who were able to act independently, had adequate vision and reading comprehension, and could complete the questionnaire independently were included in the study. Those aged 80 years and above, with severe cognitive impairments or communication difficulties, who refused to participate or failed to provide informed consent, were excluded.</w:t>
            </w:r>
          </w:p>
        </w:tc>
      </w:tr>
      <w:tr w14:paraId="2F993F8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4EFCFF83">
            <w:pPr>
              <w:tabs>
                <w:tab w:val="left" w:pos="5400"/>
              </w:tabs>
              <w:rPr>
                <w:bCs/>
                <w:sz w:val="20"/>
              </w:rPr>
            </w:pPr>
            <w:bookmarkStart w:id="27" w:name="bold14" w:colFirst="0" w:colLast="0"/>
            <w:bookmarkStart w:id="28" w:name="italic15" w:colFirst="0" w:colLast="0"/>
          </w:p>
        </w:tc>
        <w:tc>
          <w:tcPr>
            <w:tcW w:w="705" w:type="dxa"/>
            <w:vMerge w:val="continue"/>
          </w:tcPr>
          <w:p w14:paraId="66813542">
            <w:pPr>
              <w:tabs>
                <w:tab w:val="left" w:pos="5400"/>
              </w:tabs>
              <w:jc w:val="center"/>
              <w:rPr>
                <w:sz w:val="20"/>
              </w:rPr>
            </w:pPr>
          </w:p>
        </w:tc>
        <w:tc>
          <w:tcPr>
            <w:tcW w:w="1815" w:type="dxa"/>
          </w:tcPr>
          <w:p w14:paraId="13BC0730">
            <w:pPr>
              <w:tabs>
                <w:tab w:val="left" w:pos="5400"/>
              </w:tabs>
              <w:rPr>
                <w:sz w:val="20"/>
                <w:highlight w:val="none"/>
              </w:rPr>
            </w:pPr>
            <w:r>
              <w:rPr>
                <w:sz w:val="20"/>
                <w:highlight w:val="none"/>
              </w:rPr>
              <w:t>(</w:t>
            </w:r>
            <w:r>
              <w:rPr>
                <w:i/>
                <w:sz w:val="20"/>
                <w:highlight w:val="none"/>
              </w:rPr>
              <w:t>b</w:t>
            </w:r>
            <w:r>
              <w:rPr>
                <w:sz w:val="20"/>
                <w:highlight w:val="none"/>
              </w:rPr>
              <w:t>)</w:t>
            </w:r>
            <w:r>
              <w:rPr>
                <w:b/>
                <w:bCs/>
                <w:sz w:val="20"/>
                <w:highlight w:val="none"/>
              </w:rPr>
              <w:t xml:space="preserve"> </w:t>
            </w:r>
            <w:r>
              <w:rPr>
                <w:bCs/>
                <w:i/>
                <w:sz w:val="20"/>
                <w:highlight w:val="none"/>
              </w:rPr>
              <w:t>Cohort study</w:t>
            </w:r>
            <w:r>
              <w:rPr>
                <w:sz w:val="20"/>
                <w:highlight w:val="none"/>
              </w:rPr>
              <w:t>—For matched studies, give matching criteria and number of exposed and unexposed</w:t>
            </w:r>
          </w:p>
          <w:p w14:paraId="468DD2EB">
            <w:pPr>
              <w:tabs>
                <w:tab w:val="left" w:pos="5400"/>
              </w:tabs>
              <w:rPr>
                <w:i/>
                <w:sz w:val="20"/>
                <w:highlight w:val="none"/>
              </w:rPr>
            </w:pPr>
            <w:r>
              <w:rPr>
                <w:bCs/>
                <w:i/>
                <w:sz w:val="20"/>
                <w:highlight w:val="none"/>
              </w:rPr>
              <w:t>Case-control study</w:t>
            </w:r>
            <w:r>
              <w:rPr>
                <w:sz w:val="20"/>
                <w:highlight w:val="none"/>
              </w:rPr>
              <w:t>—For matched studies, give matching criteria and the number of controls per case</w:t>
            </w:r>
          </w:p>
        </w:tc>
        <w:tc>
          <w:tcPr>
            <w:tcW w:w="855" w:type="dxa"/>
            <w:vAlign w:val="center"/>
          </w:tcPr>
          <w:p w14:paraId="74E16D6C">
            <w:pPr>
              <w:keepNext w:val="0"/>
              <w:keepLines w:val="0"/>
              <w:widowControl/>
              <w:suppressLineNumbers w:val="0"/>
              <w:wordWrap/>
              <w:jc w:val="center"/>
              <w:textAlignment w:val="center"/>
              <w:rPr>
                <w:rFonts w:hint="default"/>
                <w:sz w:val="20"/>
                <w:highlight w:val="none"/>
                <w:lang w:val="en-US"/>
              </w:rPr>
            </w:pPr>
            <w:r>
              <w:rPr>
                <w:rFonts w:hint="eastAsia" w:ascii="Arial" w:hAnsi="Arial" w:eastAsia="宋体" w:cs="Arial"/>
                <w:b w:val="0"/>
                <w:bCs w:val="0"/>
                <w:i w:val="0"/>
                <w:iCs w:val="0"/>
                <w:color w:val="333333"/>
                <w:kern w:val="0"/>
                <w:sz w:val="20"/>
                <w:szCs w:val="20"/>
                <w:highlight w:val="none"/>
                <w:lang w:val="en-US" w:eastAsia="zh-CN" w:bidi="ar"/>
              </w:rPr>
              <w:t>N/A</w:t>
            </w:r>
          </w:p>
        </w:tc>
        <w:tc>
          <w:tcPr>
            <w:tcW w:w="10421" w:type="dxa"/>
            <w:vAlign w:val="center"/>
          </w:tcPr>
          <w:p w14:paraId="630443F8">
            <w:pPr>
              <w:keepNext w:val="0"/>
              <w:keepLines w:val="0"/>
              <w:widowControl/>
              <w:suppressLineNumbers w:val="0"/>
              <w:wordWrap/>
              <w:jc w:val="left"/>
              <w:textAlignment w:val="center"/>
              <w:rPr>
                <w:rFonts w:hint="default" w:eastAsia="宋体"/>
                <w:sz w:val="20"/>
                <w:lang w:val="en-US" w:eastAsia="zh-CN"/>
              </w:rPr>
            </w:pPr>
            <w:r>
              <w:rPr>
                <w:rFonts w:hint="default" w:ascii="Arial" w:hAnsi="Arial" w:eastAsia="等线" w:cs="Arial"/>
                <w:i w:val="0"/>
                <w:iCs w:val="0"/>
                <w:color w:val="333333"/>
                <w:kern w:val="0"/>
                <w:sz w:val="20"/>
                <w:szCs w:val="20"/>
                <w:u w:val="none"/>
                <w:lang w:val="en-US" w:eastAsia="zh-CN" w:bidi="ar"/>
              </w:rPr>
              <w:t>This is a cross-sectional study</w:t>
            </w:r>
            <w:r>
              <w:rPr>
                <w:rFonts w:hint="eastAsia" w:ascii="Arial" w:hAnsi="Arial" w:eastAsia="等线" w:cs="Arial"/>
                <w:i w:val="0"/>
                <w:iCs w:val="0"/>
                <w:color w:val="333333"/>
                <w:kern w:val="0"/>
                <w:sz w:val="20"/>
                <w:szCs w:val="20"/>
                <w:u w:val="none"/>
                <w:lang w:val="en-US" w:eastAsia="zh-CN" w:bidi="ar"/>
              </w:rPr>
              <w:t>.</w:t>
            </w:r>
          </w:p>
        </w:tc>
      </w:tr>
      <w:bookmarkEnd w:id="27"/>
      <w:bookmarkEnd w:id="28"/>
      <w:tr w14:paraId="1F73F45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2FF3730C">
            <w:pPr>
              <w:tabs>
                <w:tab w:val="left" w:pos="5400"/>
              </w:tabs>
              <w:rPr>
                <w:bCs/>
                <w:sz w:val="20"/>
              </w:rPr>
            </w:pPr>
            <w:bookmarkStart w:id="29" w:name="bold16" w:colFirst="0" w:colLast="0"/>
            <w:bookmarkStart w:id="30" w:name="italic17" w:colFirst="0" w:colLast="0"/>
            <w:r>
              <w:rPr>
                <w:bCs/>
                <w:sz w:val="20"/>
              </w:rPr>
              <w:t>Variables</w:t>
            </w:r>
          </w:p>
        </w:tc>
        <w:tc>
          <w:tcPr>
            <w:tcW w:w="705" w:type="dxa"/>
          </w:tcPr>
          <w:p w14:paraId="195CF3C2">
            <w:pPr>
              <w:tabs>
                <w:tab w:val="left" w:pos="5400"/>
              </w:tabs>
              <w:jc w:val="center"/>
              <w:rPr>
                <w:sz w:val="20"/>
              </w:rPr>
            </w:pPr>
            <w:r>
              <w:rPr>
                <w:sz w:val="20"/>
              </w:rPr>
              <w:t>7</w:t>
            </w:r>
          </w:p>
        </w:tc>
        <w:tc>
          <w:tcPr>
            <w:tcW w:w="1815" w:type="dxa"/>
          </w:tcPr>
          <w:p w14:paraId="05859D87">
            <w:pPr>
              <w:tabs>
                <w:tab w:val="left" w:pos="5400"/>
              </w:tabs>
              <w:rPr>
                <w:sz w:val="20"/>
                <w:highlight w:val="none"/>
              </w:rPr>
            </w:pPr>
            <w:r>
              <w:rPr>
                <w:sz w:val="20"/>
                <w:highlight w:val="none"/>
              </w:rPr>
              <w:t>Clearly define all outcomes, exposures, predictors, potential confounders, and effect modifiers. Give diagnostic criteria, if applicable</w:t>
            </w:r>
          </w:p>
        </w:tc>
        <w:tc>
          <w:tcPr>
            <w:tcW w:w="855" w:type="dxa"/>
            <w:vAlign w:val="center"/>
          </w:tcPr>
          <w:p w14:paraId="3E3CB54D">
            <w:pPr>
              <w:keepNext w:val="0"/>
              <w:keepLines w:val="0"/>
              <w:widowControl/>
              <w:suppressLineNumbers w:val="0"/>
              <w:wordWrap/>
              <w:jc w:val="center"/>
              <w:textAlignment w:val="center"/>
              <w:rPr>
                <w:sz w:val="20"/>
                <w:highlight w:val="none"/>
              </w:rPr>
            </w:pPr>
            <w:r>
              <w:rPr>
                <w:rFonts w:hint="default" w:ascii="Arial" w:hAnsi="Arial" w:eastAsia="宋体" w:cs="Arial"/>
                <w:b w:val="0"/>
                <w:bCs w:val="0"/>
                <w:i w:val="0"/>
                <w:iCs w:val="0"/>
                <w:color w:val="333333"/>
                <w:kern w:val="0"/>
                <w:sz w:val="20"/>
                <w:szCs w:val="20"/>
                <w:highlight w:val="none"/>
                <w:lang w:val="en-US" w:eastAsia="zh-CN" w:bidi="ar"/>
              </w:rPr>
              <w:t>3</w:t>
            </w:r>
          </w:p>
        </w:tc>
        <w:tc>
          <w:tcPr>
            <w:tcW w:w="10421" w:type="dxa"/>
            <w:vAlign w:val="center"/>
          </w:tcPr>
          <w:p w14:paraId="3864FDEF">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The independent variables in this study comprised two categories: demographic characteristics and CPR-related experiences. Demographic indicators included nationality, age, sex, marital status, occupation, educational attainment, hospital work experience, and emergency department work experience. CPR-related experiences included CPR awareness, prior CPR training, time since last CPR training, and willingness to receive CPR training. Outcome variables were divided into primary and secondary outcomes. The primary outcome was CPR Knowledge Score. It was measured using four questions: (1) what is CPR; (2) why would someone need CPR; (3) whether CPR requires chest compressions; and (4) whether CPR requires mouth-to-mouth ventilation. Each correct answer received 1 point, so the total score ranged from 0 to 4. Secondary outcomes included three measures. First, Attitudes was assessed by asking respondents to select target recipients for whom they would perform CPR. Each selected recipient category contributed 1 point, yielding a total score ranging from 0 to 6. Higher scores indicated greater willingness. Second, Practices</w:t>
            </w:r>
            <w:r>
              <w:rPr>
                <w:rFonts w:hint="eastAsia" w:ascii="Arial" w:hAnsi="Arial" w:eastAsia="宋体" w:cs="Arial"/>
                <w:b w:val="0"/>
                <w:bCs w:val="0"/>
                <w:i w:val="0"/>
                <w:iCs w:val="0"/>
                <w:color w:val="333333"/>
                <w:kern w:val="0"/>
                <w:sz w:val="20"/>
                <w:szCs w:val="20"/>
                <w:lang w:val="en-US" w:eastAsia="zh-CN" w:bidi="ar"/>
              </w:rPr>
              <w:t xml:space="preserve"> intention</w:t>
            </w:r>
            <w:r>
              <w:rPr>
                <w:rFonts w:hint="default" w:ascii="Arial" w:hAnsi="Arial" w:eastAsia="宋体" w:cs="Arial"/>
                <w:b w:val="0"/>
                <w:bCs w:val="0"/>
                <w:i w:val="0"/>
                <w:iCs w:val="0"/>
                <w:color w:val="333333"/>
                <w:kern w:val="0"/>
                <w:sz w:val="20"/>
                <w:szCs w:val="20"/>
                <w:lang w:val="en-US" w:eastAsia="zh-CN" w:bidi="ar"/>
              </w:rPr>
              <w:t xml:space="preserve"> was evaluated using a simulated emergency scenario. Respondents were asked to indicate the actions they would take. Each positive action selected contributed 1 point, with a total score ranging from 0 to 6. Higher scores reflected a greater likelihood of performing CPR in an emergency. Third, Barriers were assessed using a checklist of potential obstacles. Each selected barrier contributed 1 point, resulting in a total score ranging from 0 to 9. Higher scores indicated a greater number of perceived barriers.</w:t>
            </w:r>
          </w:p>
        </w:tc>
      </w:tr>
      <w:bookmarkEnd w:id="29"/>
      <w:bookmarkEnd w:id="30"/>
      <w:tr w14:paraId="489BD68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196" w:type="dxa"/>
          </w:tcPr>
          <w:p w14:paraId="01DB980C">
            <w:pPr>
              <w:tabs>
                <w:tab w:val="left" w:pos="5400"/>
              </w:tabs>
              <w:rPr>
                <w:bCs/>
                <w:sz w:val="20"/>
              </w:rPr>
            </w:pPr>
            <w:bookmarkStart w:id="31" w:name="italic18"/>
            <w:bookmarkStart w:id="32" w:name="bold17"/>
            <w:r>
              <w:rPr>
                <w:bCs/>
                <w:sz w:val="20"/>
              </w:rPr>
              <w:t>Data sources/</w:t>
            </w:r>
            <w:bookmarkEnd w:id="31"/>
            <w:bookmarkEnd w:id="32"/>
            <w:bookmarkStart w:id="33" w:name="italic19"/>
            <w:bookmarkStart w:id="34" w:name="bold18"/>
            <w:r>
              <w:rPr>
                <w:bCs/>
                <w:sz w:val="20"/>
              </w:rPr>
              <w:t xml:space="preserve"> measurement</w:t>
            </w:r>
            <w:bookmarkEnd w:id="33"/>
            <w:bookmarkEnd w:id="34"/>
          </w:p>
        </w:tc>
        <w:tc>
          <w:tcPr>
            <w:tcW w:w="705" w:type="dxa"/>
          </w:tcPr>
          <w:p w14:paraId="3C23EA2D">
            <w:pPr>
              <w:tabs>
                <w:tab w:val="left" w:pos="5400"/>
              </w:tabs>
              <w:jc w:val="center"/>
              <w:rPr>
                <w:sz w:val="20"/>
              </w:rPr>
            </w:pPr>
            <w:r>
              <w:rPr>
                <w:sz w:val="20"/>
              </w:rPr>
              <w:t>8</w:t>
            </w:r>
            <w:bookmarkStart w:id="35" w:name="bold19"/>
            <w:r>
              <w:rPr>
                <w:bCs/>
                <w:sz w:val="20"/>
              </w:rPr>
              <w:t>*</w:t>
            </w:r>
            <w:bookmarkEnd w:id="35"/>
          </w:p>
        </w:tc>
        <w:tc>
          <w:tcPr>
            <w:tcW w:w="1815" w:type="dxa"/>
          </w:tcPr>
          <w:p w14:paraId="425863BB">
            <w:pPr>
              <w:tabs>
                <w:tab w:val="left" w:pos="5400"/>
              </w:tabs>
              <w:rPr>
                <w:sz w:val="20"/>
                <w:highlight w:val="none"/>
              </w:rPr>
            </w:pPr>
            <w:r>
              <w:rPr>
                <w:i/>
                <w:sz w:val="20"/>
                <w:highlight w:val="none"/>
              </w:rPr>
              <w:t xml:space="preserve"> </w:t>
            </w:r>
            <w:r>
              <w:rPr>
                <w:sz w:val="20"/>
                <w:highlight w:val="none"/>
              </w:rPr>
              <w:t>For each variable of interest, give sources of data and details of methods of assessment (measurement). Describe comparability of assessment methods if there is more than one group</w:t>
            </w:r>
          </w:p>
        </w:tc>
        <w:tc>
          <w:tcPr>
            <w:tcW w:w="855" w:type="dxa"/>
            <w:vAlign w:val="center"/>
          </w:tcPr>
          <w:p w14:paraId="48EE5F49">
            <w:pPr>
              <w:keepNext w:val="0"/>
              <w:keepLines w:val="0"/>
              <w:widowControl/>
              <w:suppressLineNumbers w:val="0"/>
              <w:wordWrap/>
              <w:jc w:val="center"/>
              <w:textAlignment w:val="center"/>
              <w:rPr>
                <w:i/>
                <w:sz w:val="20"/>
                <w:highlight w:val="none"/>
              </w:rPr>
            </w:pPr>
            <w:r>
              <w:rPr>
                <w:rFonts w:hint="default" w:ascii="Arial" w:hAnsi="Arial" w:eastAsia="宋体" w:cs="Arial"/>
                <w:b w:val="0"/>
                <w:bCs w:val="0"/>
                <w:i w:val="0"/>
                <w:iCs w:val="0"/>
                <w:color w:val="333333"/>
                <w:kern w:val="0"/>
                <w:sz w:val="20"/>
                <w:szCs w:val="20"/>
                <w:highlight w:val="none"/>
                <w:lang w:val="en-US" w:eastAsia="zh-CN" w:bidi="ar"/>
              </w:rPr>
              <w:t>3,4</w:t>
            </w:r>
          </w:p>
        </w:tc>
        <w:tc>
          <w:tcPr>
            <w:tcW w:w="10421" w:type="dxa"/>
            <w:vAlign w:val="center"/>
          </w:tcPr>
          <w:p w14:paraId="2CA8871E">
            <w:pPr>
              <w:keepNext w:val="0"/>
              <w:keepLines w:val="0"/>
              <w:widowControl/>
              <w:suppressLineNumbers w:val="0"/>
              <w:wordWrap/>
              <w:jc w:val="left"/>
              <w:textAlignment w:val="center"/>
              <w:rPr>
                <w:i/>
                <w:sz w:val="20"/>
              </w:rPr>
            </w:pPr>
            <w:r>
              <w:rPr>
                <w:rFonts w:hint="default" w:ascii="Arial" w:hAnsi="Arial" w:eastAsia="宋体" w:cs="Arial"/>
                <w:b w:val="0"/>
                <w:bCs w:val="0"/>
                <w:i w:val="0"/>
                <w:iCs w:val="0"/>
                <w:color w:val="333333"/>
                <w:kern w:val="0"/>
                <w:sz w:val="20"/>
                <w:szCs w:val="20"/>
                <w:lang w:val="en-US" w:eastAsia="zh-CN" w:bidi="ar"/>
              </w:rPr>
              <w:t>The independent variables in this study comprised two categories: demographic characteristics and CPR-related experiences. Demographic indicators included nationality, age, sex, marital status, occupation, educational attainment, hospital work experience, and emergency department work experience. CPR-related experiences included CPR awareness, prior CPR training, time since last CPR training, and willingness to receive CPR training. Outcome variables were divided into primary and secondary outcomes. The primary outcome was CPR Knowledge Score. It was measured using four questions: (1) what is CPR; (2) why would someone need CPR; (3) whether CPR requires chest compressions; and (4) whether CPR requires mouth-to-mouth ventilation. Each correct answer received 1 point, so the total score ranged from 0 to 4. Secondary outcomes included three measures. First, Attitudes was assessed by asking respondents to select target recipients for whom they would perform CPR. Each selected recipient category contributed 1 point, yielding a total score ranging from 0 to 6. Higher scores indicated greater willingness. Second, Practices</w:t>
            </w:r>
            <w:r>
              <w:rPr>
                <w:rFonts w:hint="eastAsia" w:ascii="Arial" w:hAnsi="Arial" w:eastAsia="宋体" w:cs="Arial"/>
                <w:b w:val="0"/>
                <w:bCs w:val="0"/>
                <w:i w:val="0"/>
                <w:iCs w:val="0"/>
                <w:color w:val="333333"/>
                <w:kern w:val="0"/>
                <w:sz w:val="20"/>
                <w:szCs w:val="20"/>
                <w:lang w:val="en-US" w:eastAsia="zh-CN" w:bidi="ar"/>
              </w:rPr>
              <w:t xml:space="preserve"> intention</w:t>
            </w:r>
            <w:r>
              <w:rPr>
                <w:rFonts w:hint="default" w:ascii="Arial" w:hAnsi="Arial" w:eastAsia="宋体" w:cs="Arial"/>
                <w:b w:val="0"/>
                <w:bCs w:val="0"/>
                <w:i w:val="0"/>
                <w:iCs w:val="0"/>
                <w:color w:val="333333"/>
                <w:kern w:val="0"/>
                <w:sz w:val="20"/>
                <w:szCs w:val="20"/>
                <w:lang w:val="en-US" w:eastAsia="zh-CN" w:bidi="ar"/>
              </w:rPr>
              <w:t xml:space="preserve"> was evaluated using a simulated emergency scenario. Respondents were asked to indicate the actions they would take. Each positive action selected contributed 1 point, with a total score ranging from 0 to 6. Higher scores reflected a greater likelihood of performing CPR in an emergency. Third, Barriers was assessed using a checklist of potential obstacles. Each selected barrier contributed 1 point, resulting in a total score ranging from 0 to 9. Higher scores indicated a greater number of perceived barriers. The questionnaire was developed based on a systematic literature review and an existing instrument [9]. After review by all team members, its content was evaluated by two emergency medicine experts and one community health expert. The questionnaire was then translated into three language versions: English, Portuguese, and French. To ensure cross-cultural consistency, back-translation was performed for cultural adaptation, and local healthcare professionals reviewed the linguistic appropriateness. Prior to data collection, a pilot survey was conducted with 30 individuals in each country, and the questionnaire was refined based on their feedback. Data collection was carried out by local investigators. Before the survey, all investigators received a standardized 30-minute training session. Given that some respondents did not own smartphones, paper-based questionnaires were distributed. Upon completion, research staff verified each questionnaire on-site and assigned a unique identification number.</w:t>
            </w:r>
          </w:p>
        </w:tc>
      </w:tr>
      <w:tr w14:paraId="7866E47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2F3B66B3">
            <w:pPr>
              <w:tabs>
                <w:tab w:val="left" w:pos="5400"/>
              </w:tabs>
              <w:rPr>
                <w:bCs/>
                <w:color w:val="000000"/>
                <w:sz w:val="20"/>
              </w:rPr>
            </w:pPr>
            <w:bookmarkStart w:id="36" w:name="italic20" w:colFirst="0" w:colLast="0"/>
            <w:bookmarkStart w:id="37" w:name="bold20" w:colFirst="0" w:colLast="0"/>
            <w:r>
              <w:rPr>
                <w:bCs/>
                <w:color w:val="000000"/>
                <w:sz w:val="20"/>
              </w:rPr>
              <w:t>Bias</w:t>
            </w:r>
          </w:p>
        </w:tc>
        <w:tc>
          <w:tcPr>
            <w:tcW w:w="705" w:type="dxa"/>
          </w:tcPr>
          <w:p w14:paraId="4F400755">
            <w:pPr>
              <w:tabs>
                <w:tab w:val="left" w:pos="5400"/>
              </w:tabs>
              <w:jc w:val="center"/>
              <w:rPr>
                <w:sz w:val="20"/>
              </w:rPr>
            </w:pPr>
            <w:r>
              <w:rPr>
                <w:sz w:val="20"/>
              </w:rPr>
              <w:t>9</w:t>
            </w:r>
          </w:p>
        </w:tc>
        <w:tc>
          <w:tcPr>
            <w:tcW w:w="1815" w:type="dxa"/>
          </w:tcPr>
          <w:p w14:paraId="69228EDF">
            <w:pPr>
              <w:tabs>
                <w:tab w:val="left" w:pos="5400"/>
              </w:tabs>
              <w:rPr>
                <w:color w:val="000000"/>
                <w:sz w:val="20"/>
                <w:highlight w:val="none"/>
              </w:rPr>
            </w:pPr>
            <w:r>
              <w:rPr>
                <w:color w:val="000000"/>
                <w:sz w:val="20"/>
                <w:highlight w:val="none"/>
              </w:rPr>
              <w:t>Describe any efforts to address potential sources of bias</w:t>
            </w:r>
          </w:p>
        </w:tc>
        <w:tc>
          <w:tcPr>
            <w:tcW w:w="855" w:type="dxa"/>
            <w:vAlign w:val="center"/>
          </w:tcPr>
          <w:p w14:paraId="372C6601">
            <w:pPr>
              <w:keepNext w:val="0"/>
              <w:keepLines w:val="0"/>
              <w:widowControl/>
              <w:suppressLineNumbers w:val="0"/>
              <w:wordWrap/>
              <w:jc w:val="center"/>
              <w:textAlignment w:val="center"/>
              <w:rPr>
                <w:color w:val="000000"/>
                <w:sz w:val="20"/>
                <w:highlight w:val="none"/>
              </w:rPr>
            </w:pPr>
            <w:r>
              <w:rPr>
                <w:rFonts w:hint="eastAsia" w:ascii="Arial" w:hAnsi="Arial" w:eastAsia="宋体" w:cs="Arial"/>
                <w:b w:val="0"/>
                <w:bCs w:val="0"/>
                <w:i w:val="0"/>
                <w:iCs w:val="0"/>
                <w:color w:val="333333"/>
                <w:kern w:val="0"/>
                <w:sz w:val="20"/>
                <w:szCs w:val="20"/>
                <w:highlight w:val="none"/>
                <w:lang w:val="en-US" w:eastAsia="zh-CN" w:bidi="ar"/>
              </w:rPr>
              <w:t>3,</w:t>
            </w:r>
            <w:r>
              <w:rPr>
                <w:rFonts w:hint="default" w:ascii="Arial" w:hAnsi="Arial" w:eastAsia="宋体" w:cs="Arial"/>
                <w:b w:val="0"/>
                <w:bCs w:val="0"/>
                <w:i w:val="0"/>
                <w:iCs w:val="0"/>
                <w:color w:val="333333"/>
                <w:kern w:val="0"/>
                <w:sz w:val="20"/>
                <w:szCs w:val="20"/>
                <w:highlight w:val="none"/>
                <w:lang w:val="en-US" w:eastAsia="zh-CN" w:bidi="ar"/>
              </w:rPr>
              <w:t>4</w:t>
            </w:r>
          </w:p>
        </w:tc>
        <w:tc>
          <w:tcPr>
            <w:tcW w:w="10421" w:type="dxa"/>
            <w:vAlign w:val="center"/>
          </w:tcPr>
          <w:p w14:paraId="51C7C6E9">
            <w:pPr>
              <w:keepNext w:val="0"/>
              <w:keepLines w:val="0"/>
              <w:widowControl/>
              <w:suppressLineNumbers w:val="0"/>
              <w:wordWrap/>
              <w:jc w:val="left"/>
              <w:textAlignment w:val="center"/>
              <w:rPr>
                <w:color w:val="000000"/>
                <w:sz w:val="20"/>
              </w:rPr>
            </w:pPr>
            <w:r>
              <w:rPr>
                <w:rFonts w:hint="default" w:ascii="Arial" w:hAnsi="Arial" w:eastAsia="宋体" w:cs="Arial"/>
                <w:b w:val="0"/>
                <w:bCs w:val="0"/>
                <w:i w:val="0"/>
                <w:iCs w:val="0"/>
                <w:color w:val="333333"/>
                <w:kern w:val="0"/>
                <w:sz w:val="20"/>
                <w:szCs w:val="20"/>
                <w:lang w:val="en-US" w:eastAsia="zh-CN" w:bidi="ar"/>
              </w:rPr>
              <w:t>The questionnaire was developed based on a systematic literature review and an existing instrument [9]. After review by all team members, its content was evaluated by two emergency medicine experts and one community health expert. The questionnaire was then translated into three language versions: English, Portuguese, and French. To ensure cross-cultural consistency, back-translation was performed for cultural adaptation, and local healthcare professionals reviewed the linguistic appropriateness. Prior to data collection, a pilot survey was conducted with 30 individuals in each country, and the questionnaire was refined based on their feedback. Data collection was carried out by local investigators. Before the survey, all investigators received a standardized 30-minute training session. To minimize selection bias, investigators were instructed to consecutively approach eligible individuals in the waiting areas. Selective distribution based on personal preference was prohibited.</w:t>
            </w:r>
          </w:p>
        </w:tc>
      </w:tr>
      <w:bookmarkEnd w:id="36"/>
      <w:bookmarkEnd w:id="37"/>
      <w:tr w14:paraId="52190E8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380BB346">
            <w:pPr>
              <w:tabs>
                <w:tab w:val="left" w:pos="5400"/>
              </w:tabs>
              <w:rPr>
                <w:bCs/>
                <w:sz w:val="20"/>
              </w:rPr>
            </w:pPr>
            <w:bookmarkStart w:id="38" w:name="bold21" w:colFirst="0" w:colLast="0"/>
            <w:bookmarkStart w:id="39" w:name="italic21" w:colFirst="0" w:colLast="0"/>
            <w:r>
              <w:rPr>
                <w:bCs/>
                <w:sz w:val="20"/>
              </w:rPr>
              <w:t>Study size</w:t>
            </w:r>
          </w:p>
        </w:tc>
        <w:tc>
          <w:tcPr>
            <w:tcW w:w="705" w:type="dxa"/>
          </w:tcPr>
          <w:p w14:paraId="7723206B">
            <w:pPr>
              <w:tabs>
                <w:tab w:val="left" w:pos="5400"/>
              </w:tabs>
              <w:jc w:val="center"/>
              <w:rPr>
                <w:sz w:val="20"/>
              </w:rPr>
            </w:pPr>
            <w:r>
              <w:rPr>
                <w:sz w:val="20"/>
              </w:rPr>
              <w:t>10</w:t>
            </w:r>
          </w:p>
        </w:tc>
        <w:tc>
          <w:tcPr>
            <w:tcW w:w="1815" w:type="dxa"/>
          </w:tcPr>
          <w:p w14:paraId="125CB4EB">
            <w:pPr>
              <w:tabs>
                <w:tab w:val="left" w:pos="5400"/>
              </w:tabs>
              <w:rPr>
                <w:sz w:val="20"/>
                <w:highlight w:val="none"/>
              </w:rPr>
            </w:pPr>
            <w:r>
              <w:rPr>
                <w:sz w:val="20"/>
                <w:highlight w:val="none"/>
              </w:rPr>
              <w:t>Explain how the study size was arrived at</w:t>
            </w:r>
          </w:p>
        </w:tc>
        <w:tc>
          <w:tcPr>
            <w:tcW w:w="855" w:type="dxa"/>
            <w:vAlign w:val="center"/>
          </w:tcPr>
          <w:p w14:paraId="5FBA942E">
            <w:pPr>
              <w:keepNext w:val="0"/>
              <w:keepLines w:val="0"/>
              <w:widowControl/>
              <w:suppressLineNumbers w:val="0"/>
              <w:wordWrap/>
              <w:jc w:val="center"/>
              <w:textAlignment w:val="center"/>
              <w:rPr>
                <w:sz w:val="20"/>
                <w:highlight w:val="none"/>
              </w:rPr>
            </w:pPr>
            <w:r>
              <w:rPr>
                <w:rFonts w:hint="default" w:ascii="Arial" w:hAnsi="Arial" w:eastAsia="宋体" w:cs="Arial"/>
                <w:b w:val="0"/>
                <w:bCs w:val="0"/>
                <w:i w:val="0"/>
                <w:iCs w:val="0"/>
                <w:color w:val="333333"/>
                <w:kern w:val="0"/>
                <w:sz w:val="20"/>
                <w:szCs w:val="20"/>
                <w:highlight w:val="none"/>
                <w:lang w:val="en-US" w:eastAsia="zh-CN" w:bidi="ar"/>
              </w:rPr>
              <w:t>3</w:t>
            </w:r>
          </w:p>
        </w:tc>
        <w:tc>
          <w:tcPr>
            <w:tcW w:w="10421" w:type="dxa"/>
            <w:vAlign w:val="center"/>
          </w:tcPr>
          <w:p w14:paraId="65071748">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The sample size was calculated assuming a bystander CPR rate of 20% in out-of-hospital cardiac arrest [15]. With a 5% margin of error and 95% confidence level, a minimum of 246 participants was required. Accounting for an anticipated 20% non-response rate, the target was adjusted to approximately 308. To ensure adequate statistical power for cross-national comparisons among six countries and to support multivariable regression analyses involving multiple demographic and CPR-related variables, the target was further expanded, and as many valid responses as possible were sought. A total of 2,558 questionnaires were distributed, and 1,792 valid responses were collected, yielding an effective response rate of 70.1%; Fig. 1 flowchart provides the details.</w:t>
            </w:r>
          </w:p>
        </w:tc>
      </w:tr>
      <w:bookmarkEnd w:id="38"/>
      <w:bookmarkEnd w:id="39"/>
      <w:tr w14:paraId="777A991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731A8AAA">
            <w:pPr>
              <w:tabs>
                <w:tab w:val="left" w:pos="5400"/>
              </w:tabs>
              <w:rPr>
                <w:bCs/>
                <w:sz w:val="20"/>
              </w:rPr>
            </w:pPr>
            <w:bookmarkStart w:id="40" w:name="bold22"/>
            <w:bookmarkStart w:id="41" w:name="italic22"/>
            <w:r>
              <w:rPr>
                <w:bCs/>
                <w:sz w:val="20"/>
              </w:rPr>
              <w:t>Quantitative</w:t>
            </w:r>
            <w:bookmarkEnd w:id="40"/>
            <w:bookmarkEnd w:id="41"/>
            <w:bookmarkStart w:id="42" w:name="bold23"/>
            <w:bookmarkStart w:id="43" w:name="italic23"/>
            <w:r>
              <w:rPr>
                <w:bCs/>
                <w:sz w:val="20"/>
              </w:rPr>
              <w:t xml:space="preserve"> variables</w:t>
            </w:r>
            <w:bookmarkEnd w:id="42"/>
            <w:bookmarkEnd w:id="43"/>
          </w:p>
        </w:tc>
        <w:tc>
          <w:tcPr>
            <w:tcW w:w="705" w:type="dxa"/>
          </w:tcPr>
          <w:p w14:paraId="10A609AE">
            <w:pPr>
              <w:tabs>
                <w:tab w:val="left" w:pos="5400"/>
              </w:tabs>
              <w:jc w:val="center"/>
              <w:rPr>
                <w:sz w:val="20"/>
              </w:rPr>
            </w:pPr>
            <w:r>
              <w:rPr>
                <w:sz w:val="20"/>
              </w:rPr>
              <w:t>11</w:t>
            </w:r>
          </w:p>
        </w:tc>
        <w:tc>
          <w:tcPr>
            <w:tcW w:w="1815" w:type="dxa"/>
          </w:tcPr>
          <w:p w14:paraId="5DD80396">
            <w:pPr>
              <w:tabs>
                <w:tab w:val="left" w:pos="5400"/>
              </w:tabs>
              <w:rPr>
                <w:sz w:val="20"/>
                <w:highlight w:val="none"/>
              </w:rPr>
            </w:pPr>
            <w:r>
              <w:rPr>
                <w:sz w:val="20"/>
                <w:highlight w:val="none"/>
              </w:rPr>
              <w:t>Explain how quantitative variables were handled in the analyses. If applicable, describe which groupings were chosen and why</w:t>
            </w:r>
          </w:p>
        </w:tc>
        <w:tc>
          <w:tcPr>
            <w:tcW w:w="855" w:type="dxa"/>
            <w:vAlign w:val="center"/>
          </w:tcPr>
          <w:p w14:paraId="4E405DD5">
            <w:pPr>
              <w:keepNext w:val="0"/>
              <w:keepLines w:val="0"/>
              <w:widowControl/>
              <w:suppressLineNumbers w:val="0"/>
              <w:wordWrap/>
              <w:jc w:val="center"/>
              <w:textAlignment w:val="center"/>
              <w:rPr>
                <w:sz w:val="20"/>
                <w:highlight w:val="none"/>
              </w:rPr>
            </w:pPr>
            <w:r>
              <w:rPr>
                <w:rFonts w:hint="default" w:ascii="Arial" w:hAnsi="Arial" w:eastAsia="宋体" w:cs="Arial"/>
                <w:b w:val="0"/>
                <w:bCs w:val="0"/>
                <w:i w:val="0"/>
                <w:iCs w:val="0"/>
                <w:color w:val="333333"/>
                <w:kern w:val="0"/>
                <w:sz w:val="20"/>
                <w:szCs w:val="20"/>
                <w:highlight w:val="none"/>
                <w:lang w:val="en-US" w:eastAsia="zh-CN" w:bidi="ar"/>
              </w:rPr>
              <w:t>4</w:t>
            </w:r>
          </w:p>
        </w:tc>
        <w:tc>
          <w:tcPr>
            <w:tcW w:w="10421" w:type="dxa"/>
            <w:vAlign w:val="center"/>
          </w:tcPr>
          <w:p w14:paraId="59D3228F">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Statistical analyses were performed using IBM SPSS Statistics version 27.0. Categorical variables were presented as frequencies and percentages, and continuous variables were presented as means with standard deviations. In univariate analyses, independent-samples t-tests were used for two-group comparisons, and one-way ANOVA for multi-group comparisons. Welch's F test was applied when homogeneity of variances was violated. Post-hoc multiple comparisons were conducted using the Bonferroni method or Tamhane's T2 test. Spearman's rank correlation was used for associations between continuous variables, and Pearson's chi-square test for distributional differences in categorical variables. Variables with p &lt; 0.05 in univariate analyses were entered into a multiple linear regression model with CPR knowledge score as the dependent variable. Multicollinearity was assessed using variance inflation factors (VIF). A two-sided significance level of α= 0.05 was applied.</w:t>
            </w:r>
          </w:p>
        </w:tc>
      </w:tr>
      <w:tr w14:paraId="3A6BC02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restart"/>
          </w:tcPr>
          <w:p w14:paraId="247B2140">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705" w:type="dxa"/>
            <w:vMerge w:val="restart"/>
          </w:tcPr>
          <w:p w14:paraId="3903A458">
            <w:pPr>
              <w:tabs>
                <w:tab w:val="left" w:pos="5400"/>
              </w:tabs>
              <w:jc w:val="center"/>
              <w:rPr>
                <w:sz w:val="20"/>
              </w:rPr>
            </w:pPr>
            <w:r>
              <w:rPr>
                <w:sz w:val="20"/>
              </w:rPr>
              <w:t>12</w:t>
            </w:r>
          </w:p>
        </w:tc>
        <w:tc>
          <w:tcPr>
            <w:tcW w:w="1815" w:type="dxa"/>
          </w:tcPr>
          <w:p w14:paraId="758AE62C">
            <w:pPr>
              <w:tabs>
                <w:tab w:val="left" w:pos="5400"/>
              </w:tabs>
              <w:rPr>
                <w:sz w:val="20"/>
                <w:highlight w:val="none"/>
              </w:rPr>
            </w:pPr>
            <w:r>
              <w:rPr>
                <w:sz w:val="20"/>
                <w:highlight w:val="none"/>
              </w:rPr>
              <w:t>(</w:t>
            </w:r>
            <w:r>
              <w:rPr>
                <w:i/>
                <w:sz w:val="20"/>
                <w:highlight w:val="none"/>
              </w:rPr>
              <w:t>a</w:t>
            </w:r>
            <w:r>
              <w:rPr>
                <w:sz w:val="20"/>
                <w:highlight w:val="none"/>
              </w:rPr>
              <w:t>) Describe all statistical methods, including those used to control for confounding</w:t>
            </w:r>
          </w:p>
        </w:tc>
        <w:tc>
          <w:tcPr>
            <w:tcW w:w="855" w:type="dxa"/>
            <w:vAlign w:val="center"/>
          </w:tcPr>
          <w:p w14:paraId="4259EB98">
            <w:pPr>
              <w:keepNext w:val="0"/>
              <w:keepLines w:val="0"/>
              <w:widowControl/>
              <w:suppressLineNumbers w:val="0"/>
              <w:wordWrap/>
              <w:jc w:val="center"/>
              <w:textAlignment w:val="center"/>
              <w:rPr>
                <w:sz w:val="20"/>
                <w:highlight w:val="none"/>
              </w:rPr>
            </w:pPr>
            <w:r>
              <w:rPr>
                <w:rFonts w:hint="default" w:ascii="Arial" w:hAnsi="Arial" w:eastAsia="宋体" w:cs="Arial"/>
                <w:b w:val="0"/>
                <w:bCs w:val="0"/>
                <w:i w:val="0"/>
                <w:iCs w:val="0"/>
                <w:color w:val="333333"/>
                <w:kern w:val="0"/>
                <w:sz w:val="20"/>
                <w:szCs w:val="20"/>
                <w:highlight w:val="none"/>
                <w:lang w:val="en-US" w:eastAsia="zh-CN" w:bidi="ar"/>
              </w:rPr>
              <w:t>4</w:t>
            </w:r>
          </w:p>
        </w:tc>
        <w:tc>
          <w:tcPr>
            <w:tcW w:w="10421" w:type="dxa"/>
            <w:vAlign w:val="center"/>
          </w:tcPr>
          <w:p w14:paraId="7482FB61">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Statistical analyses were performed using IBM SPSS Statistics version 27.0. Categorical variables were presented as frequencies and percentages, and continuous variables were presented as means with standard deviations. In univariate analyses, independent-samples t-tests were used for two-group comparisons, and one-way ANOVA for multi-group comparisons. Welch's F test was applied when homogeneity of variances was violated. Post-hoc multiple comparisons were conducted using the Bonferroni method or Tamhane's T2 test. Spearman's rank correlation was used for associations between continuous variables, and Pearson's chi-square test for distributional differences in categorical variables. Variables with p &lt; 0.05 in univariate analyses were entered into a multiple linear regression model with CPR knowledge score as the dependent variable. Multicollinearity was assessed using variance inflation factors (VIF). A two-sided significance level of α= 0.05 was applied.</w:t>
            </w:r>
          </w:p>
        </w:tc>
      </w:tr>
      <w:tr w14:paraId="16B6439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24DA5859">
            <w:pPr>
              <w:tabs>
                <w:tab w:val="left" w:pos="5400"/>
              </w:tabs>
              <w:rPr>
                <w:bCs/>
                <w:sz w:val="20"/>
              </w:rPr>
            </w:pPr>
            <w:bookmarkStart w:id="46" w:name="italic26" w:colFirst="0" w:colLast="0"/>
            <w:bookmarkStart w:id="47" w:name="bold24" w:colFirst="0" w:colLast="0"/>
          </w:p>
        </w:tc>
        <w:tc>
          <w:tcPr>
            <w:tcW w:w="705" w:type="dxa"/>
            <w:vMerge w:val="continue"/>
          </w:tcPr>
          <w:p w14:paraId="1D2163FE">
            <w:pPr>
              <w:tabs>
                <w:tab w:val="left" w:pos="5400"/>
              </w:tabs>
              <w:jc w:val="center"/>
              <w:rPr>
                <w:sz w:val="20"/>
              </w:rPr>
            </w:pPr>
          </w:p>
        </w:tc>
        <w:tc>
          <w:tcPr>
            <w:tcW w:w="1815" w:type="dxa"/>
          </w:tcPr>
          <w:p w14:paraId="6B78D546">
            <w:pPr>
              <w:tabs>
                <w:tab w:val="left" w:pos="5400"/>
              </w:tabs>
              <w:rPr>
                <w:sz w:val="20"/>
                <w:highlight w:val="none"/>
              </w:rPr>
            </w:pPr>
            <w:r>
              <w:rPr>
                <w:sz w:val="20"/>
                <w:highlight w:val="none"/>
              </w:rPr>
              <w:t>(</w:t>
            </w:r>
            <w:r>
              <w:rPr>
                <w:i/>
                <w:sz w:val="20"/>
                <w:highlight w:val="none"/>
              </w:rPr>
              <w:t>b</w:t>
            </w:r>
            <w:r>
              <w:rPr>
                <w:sz w:val="20"/>
                <w:highlight w:val="none"/>
              </w:rPr>
              <w:t>) Describe any methods used to examine subgroups and interactions</w:t>
            </w:r>
          </w:p>
        </w:tc>
        <w:tc>
          <w:tcPr>
            <w:tcW w:w="855" w:type="dxa"/>
            <w:vAlign w:val="center"/>
          </w:tcPr>
          <w:p w14:paraId="30B0340B">
            <w:pPr>
              <w:keepNext w:val="0"/>
              <w:keepLines w:val="0"/>
              <w:widowControl/>
              <w:suppressLineNumbers w:val="0"/>
              <w:wordWrap/>
              <w:jc w:val="center"/>
              <w:textAlignment w:val="center"/>
              <w:rPr>
                <w:sz w:val="20"/>
                <w:highlight w:val="none"/>
              </w:rPr>
            </w:pPr>
            <w:r>
              <w:rPr>
                <w:rFonts w:hint="default" w:ascii="Arial" w:hAnsi="Arial" w:eastAsia="宋体" w:cs="Arial"/>
                <w:b w:val="0"/>
                <w:bCs w:val="0"/>
                <w:i w:val="0"/>
                <w:iCs w:val="0"/>
                <w:color w:val="333333"/>
                <w:kern w:val="0"/>
                <w:sz w:val="20"/>
                <w:szCs w:val="20"/>
                <w:highlight w:val="none"/>
                <w:lang w:val="en-US" w:eastAsia="zh-CN" w:bidi="ar"/>
              </w:rPr>
              <w:t>4,5</w:t>
            </w:r>
          </w:p>
        </w:tc>
        <w:tc>
          <w:tcPr>
            <w:tcW w:w="10421" w:type="dxa"/>
            <w:vAlign w:val="center"/>
          </w:tcPr>
          <w:p w14:paraId="125D795B">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Univariate analyses showed that CPR knowledge scores, attitudes scores, and practices</w:t>
            </w:r>
            <w:r>
              <w:rPr>
                <w:rFonts w:hint="eastAsia" w:ascii="Arial" w:hAnsi="Arial" w:eastAsia="宋体" w:cs="Arial"/>
                <w:b w:val="0"/>
                <w:bCs w:val="0"/>
                <w:i w:val="0"/>
                <w:iCs w:val="0"/>
                <w:color w:val="333333"/>
                <w:kern w:val="0"/>
                <w:sz w:val="20"/>
                <w:szCs w:val="20"/>
                <w:lang w:val="en-US" w:eastAsia="zh-CN" w:bidi="ar"/>
              </w:rPr>
              <w:t xml:space="preserve"> intention</w:t>
            </w:r>
            <w:r>
              <w:rPr>
                <w:rFonts w:hint="default" w:ascii="Arial" w:hAnsi="Arial" w:eastAsia="宋体" w:cs="Arial"/>
                <w:b w:val="0"/>
                <w:bCs w:val="0"/>
                <w:i w:val="0"/>
                <w:iCs w:val="0"/>
                <w:color w:val="333333"/>
                <w:kern w:val="0"/>
                <w:sz w:val="20"/>
                <w:szCs w:val="20"/>
                <w:lang w:val="en-US" w:eastAsia="zh-CN" w:bidi="ar"/>
              </w:rPr>
              <w:t xml:space="preserve"> scores differed significantly across most demographic and CPR-related experience variables. Barriers to Performing CPR differed significantly only across sex, occupation, hospital work experience, emergency department work experience, and prior CPR training. Variables with p &lt; 0.10 in univariate analyses were entered into a multivariable linear regression model with CPR knowledge score as the dependent variable. Multi-categorical variables were dummy-coded, with South Africa, single, unemployed, and primary school or below serving as reference groups for nationality, marital status, occupation, and educational attainment, respectively. The model was significant (F = 45.67, p &lt; 0.001, adjusted R² = 0.338). Nationality independently predicted knowledge score: compared with South Africa, CPR scores were significantly lower in Angola, Benin, Gabon, and two other countries (all p &lt; 0.001). CPR awareness (β = 0.280, p &lt; 0.001) and prior CPR training (β = 0.136, p &lt; 0.001) were the strongest predictors. Willingness to receive CPR training was negatively associated with knowledge score (p &lt; 0.001). Manual workers and those in other occupations scored higher than the unemployed (both p &lt; 0.05). University education or above was associated with higher scores compared with primary school or below (p &lt; 0.001). Widowhood showed a borderline negative association (p = 0.056). All variance inflation factors were below 5, indicating no serious multicollinearity.</w:t>
            </w:r>
          </w:p>
        </w:tc>
      </w:tr>
      <w:bookmarkEnd w:id="46"/>
      <w:bookmarkEnd w:id="47"/>
      <w:tr w14:paraId="1A11693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190644A6">
            <w:pPr>
              <w:tabs>
                <w:tab w:val="left" w:pos="5400"/>
              </w:tabs>
              <w:rPr>
                <w:bCs/>
                <w:sz w:val="20"/>
              </w:rPr>
            </w:pPr>
            <w:bookmarkStart w:id="48" w:name="italic27" w:colFirst="0" w:colLast="0"/>
            <w:bookmarkStart w:id="49" w:name="bold25" w:colFirst="0" w:colLast="0"/>
          </w:p>
        </w:tc>
        <w:tc>
          <w:tcPr>
            <w:tcW w:w="705" w:type="dxa"/>
            <w:vMerge w:val="continue"/>
          </w:tcPr>
          <w:p w14:paraId="2E34F9C7">
            <w:pPr>
              <w:tabs>
                <w:tab w:val="left" w:pos="5400"/>
              </w:tabs>
              <w:jc w:val="center"/>
              <w:rPr>
                <w:sz w:val="20"/>
              </w:rPr>
            </w:pPr>
          </w:p>
        </w:tc>
        <w:tc>
          <w:tcPr>
            <w:tcW w:w="1815" w:type="dxa"/>
          </w:tcPr>
          <w:p w14:paraId="4A94D902">
            <w:pPr>
              <w:tabs>
                <w:tab w:val="left" w:pos="5400"/>
              </w:tabs>
              <w:rPr>
                <w:sz w:val="20"/>
                <w:highlight w:val="none"/>
              </w:rPr>
            </w:pPr>
            <w:r>
              <w:rPr>
                <w:sz w:val="20"/>
                <w:highlight w:val="none"/>
              </w:rPr>
              <w:t>(</w:t>
            </w:r>
            <w:r>
              <w:rPr>
                <w:i/>
                <w:sz w:val="20"/>
                <w:highlight w:val="none"/>
              </w:rPr>
              <w:t>c</w:t>
            </w:r>
            <w:r>
              <w:rPr>
                <w:sz w:val="20"/>
                <w:highlight w:val="none"/>
              </w:rPr>
              <w:t>) Explain how missing data were addressed</w:t>
            </w:r>
          </w:p>
        </w:tc>
        <w:tc>
          <w:tcPr>
            <w:tcW w:w="855" w:type="dxa"/>
            <w:vAlign w:val="center"/>
          </w:tcPr>
          <w:p w14:paraId="3957863D">
            <w:pPr>
              <w:keepNext w:val="0"/>
              <w:keepLines w:val="0"/>
              <w:widowControl/>
              <w:suppressLineNumbers w:val="0"/>
              <w:wordWrap/>
              <w:jc w:val="center"/>
              <w:textAlignment w:val="center"/>
              <w:rPr>
                <w:sz w:val="20"/>
                <w:highlight w:val="none"/>
              </w:rPr>
            </w:pPr>
            <w:r>
              <w:rPr>
                <w:rFonts w:hint="eastAsia" w:ascii="Arial" w:hAnsi="Arial" w:eastAsia="宋体" w:cs="Arial"/>
                <w:b w:val="0"/>
                <w:bCs w:val="0"/>
                <w:i w:val="0"/>
                <w:iCs w:val="0"/>
                <w:color w:val="333333"/>
                <w:kern w:val="0"/>
                <w:sz w:val="20"/>
                <w:szCs w:val="20"/>
                <w:highlight w:val="none"/>
                <w:lang w:val="en-US" w:eastAsia="zh-CN" w:bidi="ar"/>
              </w:rPr>
              <w:t>4</w:t>
            </w:r>
          </w:p>
        </w:tc>
        <w:tc>
          <w:tcPr>
            <w:tcW w:w="10421" w:type="dxa"/>
            <w:vAlign w:val="center"/>
          </w:tcPr>
          <w:p w14:paraId="6AB6D881">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A total of 2,558 questionnaires were distributed, and 1,792 valid responses were collected, yielding an effective response rate of 70.1%. Upon completion, research staff verified each questionnaire on-site and assigned a unique identification number. Only fully completed valid questionnaires were included in the final analysis.</w:t>
            </w:r>
          </w:p>
        </w:tc>
      </w:tr>
      <w:bookmarkEnd w:id="48"/>
      <w:bookmarkEnd w:id="49"/>
      <w:tr w14:paraId="003A869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4EFBFC56">
            <w:pPr>
              <w:tabs>
                <w:tab w:val="left" w:pos="5400"/>
              </w:tabs>
              <w:rPr>
                <w:bCs/>
                <w:sz w:val="20"/>
              </w:rPr>
            </w:pPr>
            <w:bookmarkStart w:id="50" w:name="italic28" w:colFirst="0" w:colLast="0"/>
            <w:bookmarkStart w:id="51" w:name="bold26" w:colFirst="0" w:colLast="0"/>
          </w:p>
        </w:tc>
        <w:tc>
          <w:tcPr>
            <w:tcW w:w="705" w:type="dxa"/>
            <w:vMerge w:val="continue"/>
          </w:tcPr>
          <w:p w14:paraId="4146C5AE">
            <w:pPr>
              <w:tabs>
                <w:tab w:val="left" w:pos="5400"/>
              </w:tabs>
              <w:jc w:val="center"/>
              <w:rPr>
                <w:sz w:val="20"/>
              </w:rPr>
            </w:pPr>
          </w:p>
        </w:tc>
        <w:tc>
          <w:tcPr>
            <w:tcW w:w="1815" w:type="dxa"/>
          </w:tcPr>
          <w:p w14:paraId="14FB37AD">
            <w:pPr>
              <w:tabs>
                <w:tab w:val="left" w:pos="5400"/>
              </w:tabs>
              <w:rPr>
                <w:sz w:val="20"/>
                <w:highlight w:val="none"/>
              </w:rPr>
            </w:pPr>
            <w:r>
              <w:rPr>
                <w:sz w:val="20"/>
                <w:highlight w:val="none"/>
              </w:rPr>
              <w:t>(</w:t>
            </w:r>
            <w:r>
              <w:rPr>
                <w:i/>
                <w:sz w:val="20"/>
                <w:highlight w:val="none"/>
              </w:rPr>
              <w:t>d</w:t>
            </w:r>
            <w:r>
              <w:rPr>
                <w:sz w:val="20"/>
                <w:highlight w:val="none"/>
              </w:rPr>
              <w:t xml:space="preserve">) </w:t>
            </w:r>
            <w:r>
              <w:rPr>
                <w:bCs/>
                <w:i/>
                <w:sz w:val="20"/>
                <w:highlight w:val="none"/>
              </w:rPr>
              <w:t>Cross-sectional study</w:t>
            </w:r>
            <w:r>
              <w:rPr>
                <w:sz w:val="20"/>
                <w:highlight w:val="none"/>
              </w:rPr>
              <w:t>—If applicable, describe analytical methods taking account of sampling strategy</w:t>
            </w:r>
          </w:p>
        </w:tc>
        <w:tc>
          <w:tcPr>
            <w:tcW w:w="855" w:type="dxa"/>
            <w:vAlign w:val="center"/>
          </w:tcPr>
          <w:p w14:paraId="05E05BCF">
            <w:pPr>
              <w:keepNext w:val="0"/>
              <w:keepLines w:val="0"/>
              <w:widowControl/>
              <w:suppressLineNumbers w:val="0"/>
              <w:wordWrap/>
              <w:jc w:val="center"/>
              <w:textAlignment w:val="center"/>
              <w:rPr>
                <w:sz w:val="20"/>
                <w:highlight w:val="none"/>
              </w:rPr>
            </w:pPr>
            <w:r>
              <w:rPr>
                <w:rFonts w:hint="default" w:ascii="Arial" w:hAnsi="Arial" w:eastAsia="宋体" w:cs="Arial"/>
                <w:b w:val="0"/>
                <w:bCs w:val="0"/>
                <w:i w:val="0"/>
                <w:iCs w:val="0"/>
                <w:color w:val="333333"/>
                <w:kern w:val="0"/>
                <w:sz w:val="20"/>
                <w:szCs w:val="20"/>
                <w:highlight w:val="none"/>
                <w:lang w:val="en-US" w:eastAsia="zh-CN" w:bidi="ar"/>
              </w:rPr>
              <w:t>4</w:t>
            </w:r>
          </w:p>
        </w:tc>
        <w:tc>
          <w:tcPr>
            <w:tcW w:w="10421" w:type="dxa"/>
            <w:vAlign w:val="center"/>
          </w:tcPr>
          <w:p w14:paraId="08B6A0AD">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Convenience sampling was used in this study. Formal response rates were not calculated, as the number of eligible individuals approached was not systematically recorded under convenience sampling. Statistical analyses were performed using IBM SPSS Statistics version 27.0. Categorical variables were presented as frequencies and percentages, and continuous variables were presented as means with standard deviations. In univariate analyses, independent-samples t-tests were used for two-group comparisons, and one-way ANOVA for multi-group comparisons. Welch's F test was applied when homogeneity of variances was violated. Post-hoc multiple comparisons were conducted using the Bonferroni method or Tamhane's T2 test. Spearman's rank correlation was used for associations between continuous variables, and Pearson's chi-square test for distributional differences in categorical variables. Variables with p &lt; 0.05 in univariate analyses were entered into a multiple linear regression model with CPR knowledge score as the dependent variable. Multicollinearity was assessed using variance inflation factors (VIF). A two-sided significance level of α= 0.05 was applied.</w:t>
            </w:r>
          </w:p>
        </w:tc>
      </w:tr>
      <w:bookmarkEnd w:id="50"/>
      <w:bookmarkEnd w:id="51"/>
      <w:tr w14:paraId="08E7E8B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28075739">
            <w:pPr>
              <w:tabs>
                <w:tab w:val="left" w:pos="5400"/>
              </w:tabs>
              <w:rPr>
                <w:bCs/>
                <w:sz w:val="20"/>
              </w:rPr>
            </w:pPr>
            <w:bookmarkStart w:id="52" w:name="bold27" w:colFirst="0" w:colLast="0"/>
            <w:bookmarkStart w:id="53" w:name="italic29" w:colFirst="0" w:colLast="0"/>
          </w:p>
        </w:tc>
        <w:tc>
          <w:tcPr>
            <w:tcW w:w="705" w:type="dxa"/>
            <w:vMerge w:val="continue"/>
          </w:tcPr>
          <w:p w14:paraId="24BBBBE6">
            <w:pPr>
              <w:tabs>
                <w:tab w:val="left" w:pos="5400"/>
              </w:tabs>
              <w:jc w:val="center"/>
              <w:rPr>
                <w:sz w:val="20"/>
              </w:rPr>
            </w:pPr>
          </w:p>
        </w:tc>
        <w:tc>
          <w:tcPr>
            <w:tcW w:w="1815" w:type="dxa"/>
          </w:tcPr>
          <w:p w14:paraId="69CD2019">
            <w:pPr>
              <w:tabs>
                <w:tab w:val="left" w:pos="5400"/>
              </w:tabs>
              <w:rPr>
                <w:sz w:val="20"/>
                <w:highlight w:val="none"/>
              </w:rPr>
            </w:pPr>
            <w:r>
              <w:rPr>
                <w:sz w:val="20"/>
                <w:highlight w:val="none"/>
              </w:rPr>
              <w:t>(</w:t>
            </w:r>
            <w:r>
              <w:rPr>
                <w:i/>
                <w:sz w:val="20"/>
                <w:highlight w:val="none"/>
                <w:u w:val="single"/>
              </w:rPr>
              <w:t>e</w:t>
            </w:r>
            <w:r>
              <w:rPr>
                <w:sz w:val="20"/>
                <w:highlight w:val="none"/>
              </w:rPr>
              <w:t>) Describe any sensitivity analyses</w:t>
            </w:r>
          </w:p>
        </w:tc>
        <w:tc>
          <w:tcPr>
            <w:tcW w:w="855" w:type="dxa"/>
            <w:vAlign w:val="center"/>
          </w:tcPr>
          <w:p w14:paraId="489A240D">
            <w:pPr>
              <w:keepNext w:val="0"/>
              <w:keepLines w:val="0"/>
              <w:widowControl/>
              <w:suppressLineNumbers w:val="0"/>
              <w:wordWrap/>
              <w:jc w:val="center"/>
              <w:textAlignment w:val="center"/>
              <w:rPr>
                <w:sz w:val="20"/>
                <w:highlight w:val="none"/>
              </w:rPr>
            </w:pPr>
            <w:r>
              <w:rPr>
                <w:rFonts w:hint="default" w:ascii="Arial" w:hAnsi="Arial" w:eastAsia="宋体" w:cs="Arial"/>
                <w:b w:val="0"/>
                <w:bCs w:val="0"/>
                <w:i w:val="0"/>
                <w:iCs w:val="0"/>
                <w:color w:val="333333"/>
                <w:kern w:val="0"/>
                <w:sz w:val="20"/>
                <w:szCs w:val="20"/>
                <w:highlight w:val="none"/>
                <w:lang w:val="en-US" w:eastAsia="zh-CN" w:bidi="ar"/>
              </w:rPr>
              <w:t>N/A</w:t>
            </w:r>
          </w:p>
        </w:tc>
        <w:tc>
          <w:tcPr>
            <w:tcW w:w="10421" w:type="dxa"/>
            <w:vAlign w:val="center"/>
          </w:tcPr>
          <w:p w14:paraId="76160C89">
            <w:pPr>
              <w:keepNext w:val="0"/>
              <w:keepLines w:val="0"/>
              <w:widowControl/>
              <w:suppressLineNumbers w:val="0"/>
              <w:wordWrap/>
              <w:jc w:val="left"/>
              <w:textAlignment w:val="center"/>
              <w:rPr>
                <w:sz w:val="20"/>
              </w:rPr>
            </w:pPr>
            <w:r>
              <w:rPr>
                <w:rFonts w:hint="default" w:ascii="Arial" w:hAnsi="Arial" w:eastAsia="宋体" w:cs="Arial"/>
                <w:b w:val="0"/>
                <w:bCs w:val="0"/>
                <w:i w:val="0"/>
                <w:iCs w:val="0"/>
                <w:color w:val="333333"/>
                <w:kern w:val="0"/>
                <w:sz w:val="20"/>
                <w:szCs w:val="20"/>
                <w:lang w:val="en-US" w:eastAsia="zh-CN" w:bidi="ar"/>
              </w:rPr>
              <w:t>No sensitivity analyses were performed in this study.</w:t>
            </w:r>
          </w:p>
        </w:tc>
      </w:tr>
      <w:bookmarkEnd w:id="52"/>
      <w:bookmarkEnd w:id="53"/>
      <w:tr w14:paraId="15016A9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14:paraId="25ABF38B">
            <w:pPr>
              <w:pStyle w:val="168"/>
              <w:tabs>
                <w:tab w:val="left" w:pos="5400"/>
              </w:tabs>
              <w:rPr>
                <w:sz w:val="20"/>
                <w:highlight w:val="none"/>
              </w:rPr>
            </w:pPr>
            <w:r>
              <w:rPr>
                <w:sz w:val="20"/>
                <w:highlight w:val="none"/>
              </w:rPr>
              <w:t>Results</w:t>
            </w:r>
          </w:p>
        </w:tc>
      </w:tr>
      <w:tr w14:paraId="6639D17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restart"/>
          </w:tcPr>
          <w:p w14:paraId="17CBABDC">
            <w:pPr>
              <w:tabs>
                <w:tab w:val="left" w:pos="5400"/>
              </w:tabs>
              <w:rPr>
                <w:bCs/>
                <w:sz w:val="20"/>
              </w:rPr>
            </w:pPr>
            <w:bookmarkStart w:id="54" w:name="bold29"/>
            <w:bookmarkStart w:id="55" w:name="italic31"/>
            <w:r>
              <w:rPr>
                <w:bCs/>
                <w:sz w:val="20"/>
              </w:rPr>
              <w:t>Participants</w:t>
            </w:r>
            <w:bookmarkEnd w:id="54"/>
            <w:bookmarkEnd w:id="55"/>
          </w:p>
        </w:tc>
        <w:tc>
          <w:tcPr>
            <w:tcW w:w="705" w:type="dxa"/>
            <w:vMerge w:val="restart"/>
          </w:tcPr>
          <w:p w14:paraId="3FBD8E8A">
            <w:pPr>
              <w:tabs>
                <w:tab w:val="left" w:pos="5400"/>
              </w:tabs>
              <w:jc w:val="center"/>
              <w:rPr>
                <w:sz w:val="20"/>
              </w:rPr>
            </w:pPr>
            <w:r>
              <w:rPr>
                <w:sz w:val="20"/>
              </w:rPr>
              <w:t>13</w:t>
            </w:r>
            <w:bookmarkStart w:id="56" w:name="bold30"/>
            <w:r>
              <w:rPr>
                <w:bCs/>
                <w:sz w:val="20"/>
              </w:rPr>
              <w:t>*</w:t>
            </w:r>
            <w:bookmarkEnd w:id="56"/>
          </w:p>
        </w:tc>
        <w:tc>
          <w:tcPr>
            <w:tcW w:w="1815" w:type="dxa"/>
          </w:tcPr>
          <w:p w14:paraId="1796C90C">
            <w:pPr>
              <w:tabs>
                <w:tab w:val="left" w:pos="5400"/>
              </w:tabs>
              <w:rPr>
                <w:sz w:val="20"/>
                <w:highlight w:val="none"/>
              </w:rPr>
            </w:pPr>
            <w:r>
              <w:rPr>
                <w:sz w:val="20"/>
                <w:highlight w:val="none"/>
              </w:rPr>
              <w:t>(a) Report numbers of individuals at each stage of study—eg numbers potentially eligible, examined for eligibility, confirmed eligible, included in the study, completing follow-up, and analysed</w:t>
            </w:r>
          </w:p>
        </w:tc>
        <w:tc>
          <w:tcPr>
            <w:tcW w:w="855" w:type="dxa"/>
            <w:vAlign w:val="center"/>
          </w:tcPr>
          <w:p w14:paraId="42A4B18E">
            <w:pPr>
              <w:keepNext w:val="0"/>
              <w:keepLines w:val="0"/>
              <w:widowControl/>
              <w:suppressLineNumbers w:val="0"/>
              <w:jc w:val="center"/>
              <w:textAlignment w:val="center"/>
              <w:rPr>
                <w:sz w:val="20"/>
                <w:highlight w:val="none"/>
              </w:rPr>
            </w:pPr>
            <w:r>
              <w:rPr>
                <w:rFonts w:hint="eastAsia" w:ascii="Arial" w:hAnsi="Arial" w:eastAsia="等线" w:cs="Arial"/>
                <w:i w:val="0"/>
                <w:iCs w:val="0"/>
                <w:color w:val="333333"/>
                <w:kern w:val="0"/>
                <w:sz w:val="20"/>
                <w:szCs w:val="20"/>
                <w:highlight w:val="none"/>
                <w:u w:val="none"/>
                <w:lang w:val="en-US" w:eastAsia="zh-CN" w:bidi="ar"/>
              </w:rPr>
              <w:t>4</w:t>
            </w:r>
          </w:p>
        </w:tc>
        <w:tc>
          <w:tcPr>
            <w:tcW w:w="10421" w:type="dxa"/>
            <w:vAlign w:val="center"/>
          </w:tcPr>
          <w:p w14:paraId="585B1AB5">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A total of 2,558 questionnaires were distributed, and 1,792 valid responses were collected, yielding an effective response rate of 70.1%; Fig. 1 flowchart provides the details.</w:t>
            </w:r>
          </w:p>
        </w:tc>
      </w:tr>
      <w:tr w14:paraId="5FE3BFE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2898A7FD">
            <w:pPr>
              <w:tabs>
                <w:tab w:val="left" w:pos="5400"/>
              </w:tabs>
              <w:rPr>
                <w:bCs/>
                <w:sz w:val="20"/>
              </w:rPr>
            </w:pPr>
            <w:bookmarkStart w:id="57" w:name="italic32" w:colFirst="0" w:colLast="0"/>
            <w:bookmarkStart w:id="58" w:name="bold31" w:colFirst="0" w:colLast="0"/>
          </w:p>
        </w:tc>
        <w:tc>
          <w:tcPr>
            <w:tcW w:w="705" w:type="dxa"/>
            <w:vMerge w:val="continue"/>
          </w:tcPr>
          <w:p w14:paraId="32CCBFC1">
            <w:pPr>
              <w:tabs>
                <w:tab w:val="left" w:pos="5400"/>
              </w:tabs>
              <w:jc w:val="center"/>
              <w:rPr>
                <w:sz w:val="20"/>
              </w:rPr>
            </w:pPr>
          </w:p>
        </w:tc>
        <w:tc>
          <w:tcPr>
            <w:tcW w:w="1815" w:type="dxa"/>
          </w:tcPr>
          <w:p w14:paraId="646E891E">
            <w:pPr>
              <w:tabs>
                <w:tab w:val="left" w:pos="5400"/>
              </w:tabs>
              <w:rPr>
                <w:sz w:val="20"/>
                <w:highlight w:val="none"/>
              </w:rPr>
            </w:pPr>
            <w:r>
              <w:rPr>
                <w:sz w:val="20"/>
                <w:highlight w:val="none"/>
              </w:rPr>
              <w:t>(b) Give reasons for non-participation at each stage</w:t>
            </w:r>
          </w:p>
        </w:tc>
        <w:tc>
          <w:tcPr>
            <w:tcW w:w="855" w:type="dxa"/>
            <w:vAlign w:val="center"/>
          </w:tcPr>
          <w:p w14:paraId="2EB78318">
            <w:pPr>
              <w:keepNext w:val="0"/>
              <w:keepLines w:val="0"/>
              <w:widowControl/>
              <w:suppressLineNumbers w:val="0"/>
              <w:jc w:val="center"/>
              <w:textAlignment w:val="center"/>
              <w:rPr>
                <w:sz w:val="20"/>
                <w:highlight w:val="none"/>
              </w:rPr>
            </w:pPr>
            <w:r>
              <w:rPr>
                <w:rFonts w:hint="eastAsia" w:ascii="Arial" w:hAnsi="Arial" w:eastAsia="等线" w:cs="Arial"/>
                <w:i w:val="0"/>
                <w:iCs w:val="0"/>
                <w:color w:val="333333"/>
                <w:kern w:val="0"/>
                <w:sz w:val="20"/>
                <w:szCs w:val="20"/>
                <w:highlight w:val="none"/>
                <w:u w:val="none"/>
                <w:lang w:val="en-US" w:eastAsia="zh-CN" w:bidi="ar"/>
              </w:rPr>
              <w:t>4</w:t>
            </w:r>
          </w:p>
        </w:tc>
        <w:tc>
          <w:tcPr>
            <w:tcW w:w="10421" w:type="dxa"/>
            <w:vAlign w:val="center"/>
          </w:tcPr>
          <w:p w14:paraId="214EC6A6">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Non-participation was primarily due to failure to meet the inclusion criteria (aged 80 years and above, with severe cognitive impairments or communication difficulties), refusal to participate, or failure to provide informed consent. Incomplete questionnaires were also excluded from the final analysis.</w:t>
            </w:r>
          </w:p>
        </w:tc>
      </w:tr>
      <w:bookmarkEnd w:id="57"/>
      <w:bookmarkEnd w:id="58"/>
      <w:tr w14:paraId="686A7C7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6D3A3BAD">
            <w:pPr>
              <w:tabs>
                <w:tab w:val="left" w:pos="5400"/>
              </w:tabs>
              <w:rPr>
                <w:bCs/>
                <w:sz w:val="20"/>
              </w:rPr>
            </w:pPr>
            <w:bookmarkStart w:id="59" w:name="bold32" w:colFirst="0" w:colLast="0"/>
            <w:bookmarkStart w:id="60" w:name="italic33" w:colFirst="0" w:colLast="0"/>
          </w:p>
        </w:tc>
        <w:tc>
          <w:tcPr>
            <w:tcW w:w="705" w:type="dxa"/>
            <w:vMerge w:val="continue"/>
          </w:tcPr>
          <w:p w14:paraId="2A29FD5A">
            <w:pPr>
              <w:tabs>
                <w:tab w:val="left" w:pos="5400"/>
              </w:tabs>
              <w:jc w:val="center"/>
              <w:rPr>
                <w:sz w:val="20"/>
              </w:rPr>
            </w:pPr>
          </w:p>
        </w:tc>
        <w:tc>
          <w:tcPr>
            <w:tcW w:w="1815" w:type="dxa"/>
          </w:tcPr>
          <w:p w14:paraId="59075A01">
            <w:pPr>
              <w:tabs>
                <w:tab w:val="left" w:pos="5400"/>
              </w:tabs>
              <w:rPr>
                <w:sz w:val="20"/>
                <w:highlight w:val="none"/>
              </w:rPr>
            </w:pPr>
            <w:bookmarkStart w:id="61" w:name="OLE_LINK4"/>
            <w:r>
              <w:rPr>
                <w:sz w:val="20"/>
                <w:highlight w:val="none"/>
              </w:rPr>
              <w:t>(c) Consider use of a flow diagram</w:t>
            </w:r>
            <w:bookmarkEnd w:id="61"/>
          </w:p>
        </w:tc>
        <w:tc>
          <w:tcPr>
            <w:tcW w:w="855" w:type="dxa"/>
            <w:vAlign w:val="center"/>
          </w:tcPr>
          <w:p w14:paraId="66859818">
            <w:pPr>
              <w:keepNext w:val="0"/>
              <w:keepLines w:val="0"/>
              <w:widowControl/>
              <w:suppressLineNumbers w:val="0"/>
              <w:jc w:val="center"/>
              <w:textAlignment w:val="center"/>
              <w:rPr>
                <w:sz w:val="20"/>
                <w:highlight w:val="none"/>
              </w:rPr>
            </w:pPr>
            <w:r>
              <w:rPr>
                <w:rFonts w:hint="eastAsia" w:ascii="Arial" w:hAnsi="Arial" w:eastAsia="等线" w:cs="Arial"/>
                <w:i w:val="0"/>
                <w:iCs w:val="0"/>
                <w:color w:val="333333"/>
                <w:kern w:val="0"/>
                <w:sz w:val="20"/>
                <w:szCs w:val="20"/>
                <w:highlight w:val="none"/>
                <w:u w:val="none"/>
                <w:lang w:val="en-US" w:eastAsia="zh-CN" w:bidi="ar"/>
              </w:rPr>
              <w:t>4</w:t>
            </w:r>
          </w:p>
        </w:tc>
        <w:tc>
          <w:tcPr>
            <w:tcW w:w="10421" w:type="dxa"/>
            <w:vAlign w:val="center"/>
          </w:tcPr>
          <w:p w14:paraId="30A250D0">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Fig. 1 flowchart provides the details of the study participant flow.</w:t>
            </w:r>
          </w:p>
        </w:tc>
      </w:tr>
      <w:bookmarkEnd w:id="59"/>
      <w:bookmarkEnd w:id="60"/>
      <w:tr w14:paraId="45B0520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restart"/>
          </w:tcPr>
          <w:p w14:paraId="7F0BE590">
            <w:pPr>
              <w:tabs>
                <w:tab w:val="left" w:pos="5400"/>
              </w:tabs>
              <w:rPr>
                <w:bCs/>
                <w:sz w:val="20"/>
              </w:rPr>
            </w:pPr>
            <w:bookmarkStart w:id="62" w:name="bold33"/>
            <w:bookmarkStart w:id="63" w:name="italic34"/>
            <w:r>
              <w:rPr>
                <w:bCs/>
                <w:sz w:val="20"/>
              </w:rPr>
              <w:t xml:space="preserve">Descriptive </w:t>
            </w:r>
            <w:bookmarkEnd w:id="62"/>
            <w:bookmarkEnd w:id="63"/>
            <w:bookmarkStart w:id="64" w:name="italic35"/>
            <w:bookmarkStart w:id="65" w:name="bold34"/>
            <w:r>
              <w:rPr>
                <w:bCs/>
                <w:sz w:val="20"/>
              </w:rPr>
              <w:t>data</w:t>
            </w:r>
            <w:bookmarkEnd w:id="64"/>
            <w:bookmarkEnd w:id="65"/>
          </w:p>
        </w:tc>
        <w:tc>
          <w:tcPr>
            <w:tcW w:w="705" w:type="dxa"/>
            <w:vMerge w:val="restart"/>
          </w:tcPr>
          <w:p w14:paraId="1DA5EAA9">
            <w:pPr>
              <w:tabs>
                <w:tab w:val="left" w:pos="5400"/>
              </w:tabs>
              <w:jc w:val="center"/>
              <w:rPr>
                <w:sz w:val="20"/>
              </w:rPr>
            </w:pPr>
            <w:r>
              <w:rPr>
                <w:sz w:val="20"/>
              </w:rPr>
              <w:t>14</w:t>
            </w:r>
            <w:bookmarkStart w:id="66" w:name="bold35"/>
            <w:r>
              <w:rPr>
                <w:bCs/>
                <w:sz w:val="20"/>
              </w:rPr>
              <w:t>*</w:t>
            </w:r>
            <w:bookmarkEnd w:id="66"/>
          </w:p>
        </w:tc>
        <w:tc>
          <w:tcPr>
            <w:tcW w:w="1815" w:type="dxa"/>
          </w:tcPr>
          <w:p w14:paraId="385AD160">
            <w:pPr>
              <w:tabs>
                <w:tab w:val="left" w:pos="5400"/>
              </w:tabs>
              <w:rPr>
                <w:sz w:val="20"/>
                <w:highlight w:val="none"/>
              </w:rPr>
            </w:pPr>
            <w:r>
              <w:rPr>
                <w:sz w:val="20"/>
                <w:highlight w:val="none"/>
              </w:rPr>
              <w:t>(a) Give characteristics of study participants (eg demographic, clinical, social) and information on exposures and potential confounders</w:t>
            </w:r>
          </w:p>
        </w:tc>
        <w:tc>
          <w:tcPr>
            <w:tcW w:w="855" w:type="dxa"/>
            <w:vAlign w:val="center"/>
          </w:tcPr>
          <w:p w14:paraId="29C0A0A7">
            <w:pPr>
              <w:keepNext w:val="0"/>
              <w:keepLines w:val="0"/>
              <w:widowControl/>
              <w:suppressLineNumbers w:val="0"/>
              <w:jc w:val="center"/>
              <w:textAlignment w:val="center"/>
              <w:rPr>
                <w:sz w:val="20"/>
                <w:highlight w:val="none"/>
              </w:rPr>
            </w:pPr>
            <w:r>
              <w:rPr>
                <w:rFonts w:hint="default" w:ascii="Arial" w:hAnsi="Arial" w:eastAsia="等线" w:cs="Arial"/>
                <w:i w:val="0"/>
                <w:iCs w:val="0"/>
                <w:color w:val="333333"/>
                <w:kern w:val="0"/>
                <w:sz w:val="20"/>
                <w:szCs w:val="20"/>
                <w:highlight w:val="none"/>
                <w:u w:val="none"/>
                <w:lang w:val="en-US" w:eastAsia="zh-CN" w:bidi="ar"/>
              </w:rPr>
              <w:t>4</w:t>
            </w:r>
          </w:p>
        </w:tc>
        <w:tc>
          <w:tcPr>
            <w:tcW w:w="10421" w:type="dxa"/>
            <w:vAlign w:val="center"/>
          </w:tcPr>
          <w:p w14:paraId="2CB063CE">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A total of 1,792 respondents were included, with a mean age of 38.4 ± 12.6 years; 50.6% were male. Most respondents had completed junior/senior high school or above, and manual workers constituted the largest group. CPR awareness was 40.1%, while the formal CPR training rate was only 13.3%. Post-hoc between-group comparisons and detailed demographic characteristics are presented in Table 1.</w:t>
            </w:r>
          </w:p>
        </w:tc>
      </w:tr>
      <w:tr w14:paraId="428AA54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3CD8B92C">
            <w:pPr>
              <w:tabs>
                <w:tab w:val="left" w:pos="5400"/>
              </w:tabs>
              <w:rPr>
                <w:bCs/>
                <w:sz w:val="20"/>
              </w:rPr>
            </w:pPr>
            <w:bookmarkStart w:id="67" w:name="bold36" w:colFirst="0" w:colLast="0"/>
            <w:bookmarkStart w:id="68" w:name="italic36" w:colFirst="0" w:colLast="0"/>
          </w:p>
        </w:tc>
        <w:tc>
          <w:tcPr>
            <w:tcW w:w="705" w:type="dxa"/>
            <w:vMerge w:val="continue"/>
          </w:tcPr>
          <w:p w14:paraId="7C29B853">
            <w:pPr>
              <w:tabs>
                <w:tab w:val="left" w:pos="5400"/>
              </w:tabs>
              <w:jc w:val="center"/>
              <w:rPr>
                <w:sz w:val="20"/>
              </w:rPr>
            </w:pPr>
          </w:p>
        </w:tc>
        <w:tc>
          <w:tcPr>
            <w:tcW w:w="1815" w:type="dxa"/>
          </w:tcPr>
          <w:p w14:paraId="07D191B2">
            <w:pPr>
              <w:tabs>
                <w:tab w:val="left" w:pos="5400"/>
              </w:tabs>
              <w:rPr>
                <w:sz w:val="20"/>
                <w:highlight w:val="none"/>
              </w:rPr>
            </w:pPr>
            <w:r>
              <w:rPr>
                <w:sz w:val="20"/>
                <w:highlight w:val="none"/>
              </w:rPr>
              <w:t>(b) Indicate number of participants with missing data for each variable of interest</w:t>
            </w:r>
          </w:p>
        </w:tc>
        <w:tc>
          <w:tcPr>
            <w:tcW w:w="855" w:type="dxa"/>
            <w:vAlign w:val="center"/>
          </w:tcPr>
          <w:p w14:paraId="2C7E9B64">
            <w:pPr>
              <w:keepNext w:val="0"/>
              <w:keepLines w:val="0"/>
              <w:widowControl/>
              <w:suppressLineNumbers w:val="0"/>
              <w:jc w:val="center"/>
              <w:textAlignment w:val="center"/>
              <w:rPr>
                <w:sz w:val="20"/>
                <w:highlight w:val="none"/>
              </w:rPr>
            </w:pPr>
            <w:r>
              <w:rPr>
                <w:rFonts w:hint="default" w:ascii="Arial" w:hAnsi="Arial" w:eastAsia="等线" w:cs="Arial"/>
                <w:i w:val="0"/>
                <w:iCs w:val="0"/>
                <w:color w:val="333333"/>
                <w:kern w:val="0"/>
                <w:sz w:val="20"/>
                <w:szCs w:val="20"/>
                <w:highlight w:val="none"/>
                <w:u w:val="none"/>
                <w:lang w:val="en-US" w:eastAsia="zh-CN" w:bidi="ar"/>
              </w:rPr>
              <w:t>3,4</w:t>
            </w:r>
          </w:p>
        </w:tc>
        <w:tc>
          <w:tcPr>
            <w:tcW w:w="10421" w:type="dxa"/>
            <w:vAlign w:val="center"/>
          </w:tcPr>
          <w:p w14:paraId="0DB03F60">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Only fully completed valid questionnaires were included in the final analysis, so there were no missing data for the variables included in the study. A total of 766 questionnaires were excluded due to incompleteness or failure to meet eligibility criteria.</w:t>
            </w:r>
          </w:p>
        </w:tc>
      </w:tr>
      <w:bookmarkEnd w:id="67"/>
      <w:bookmarkEnd w:id="68"/>
      <w:tr w14:paraId="0541560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74CF39C2">
            <w:pPr>
              <w:tabs>
                <w:tab w:val="left" w:pos="5400"/>
              </w:tabs>
              <w:rPr>
                <w:bCs/>
                <w:sz w:val="20"/>
              </w:rPr>
            </w:pPr>
            <w:bookmarkStart w:id="69" w:name="italic37" w:colFirst="0" w:colLast="0"/>
            <w:bookmarkStart w:id="70" w:name="bold37" w:colFirst="0" w:colLast="0"/>
          </w:p>
        </w:tc>
        <w:tc>
          <w:tcPr>
            <w:tcW w:w="705" w:type="dxa"/>
            <w:vMerge w:val="continue"/>
          </w:tcPr>
          <w:p w14:paraId="4AB15296">
            <w:pPr>
              <w:tabs>
                <w:tab w:val="left" w:pos="5400"/>
              </w:tabs>
              <w:jc w:val="center"/>
              <w:rPr>
                <w:sz w:val="20"/>
              </w:rPr>
            </w:pPr>
          </w:p>
        </w:tc>
        <w:tc>
          <w:tcPr>
            <w:tcW w:w="1815" w:type="dxa"/>
          </w:tcPr>
          <w:p w14:paraId="0ECF0AD0">
            <w:pPr>
              <w:tabs>
                <w:tab w:val="left" w:pos="5400"/>
              </w:tabs>
              <w:rPr>
                <w:sz w:val="20"/>
                <w:highlight w:val="none"/>
              </w:rPr>
            </w:pPr>
            <w:r>
              <w:rPr>
                <w:sz w:val="20"/>
                <w:highlight w:val="none"/>
              </w:rPr>
              <w:t xml:space="preserve">(c) </w:t>
            </w:r>
            <w:r>
              <w:rPr>
                <w:i/>
                <w:sz w:val="20"/>
                <w:highlight w:val="none"/>
              </w:rPr>
              <w:t>Cohort study</w:t>
            </w:r>
            <w:r>
              <w:rPr>
                <w:sz w:val="20"/>
                <w:highlight w:val="none"/>
              </w:rPr>
              <w:t>—Summarise follow-up time (eg, average and total amount)</w:t>
            </w:r>
          </w:p>
        </w:tc>
        <w:tc>
          <w:tcPr>
            <w:tcW w:w="855" w:type="dxa"/>
            <w:vAlign w:val="center"/>
          </w:tcPr>
          <w:p w14:paraId="13D2A02B">
            <w:pPr>
              <w:keepNext w:val="0"/>
              <w:keepLines w:val="0"/>
              <w:widowControl/>
              <w:suppressLineNumbers w:val="0"/>
              <w:jc w:val="center"/>
              <w:textAlignment w:val="center"/>
              <w:rPr>
                <w:sz w:val="20"/>
                <w:highlight w:val="none"/>
              </w:rPr>
            </w:pPr>
            <w:r>
              <w:rPr>
                <w:rFonts w:hint="default" w:ascii="Arial" w:hAnsi="Arial" w:eastAsia="等线" w:cs="Arial"/>
                <w:i w:val="0"/>
                <w:iCs w:val="0"/>
                <w:color w:val="333333"/>
                <w:kern w:val="0"/>
                <w:sz w:val="20"/>
                <w:szCs w:val="20"/>
                <w:highlight w:val="none"/>
                <w:u w:val="none"/>
                <w:lang w:val="en-US" w:eastAsia="zh-CN" w:bidi="ar"/>
              </w:rPr>
              <w:t>N/A</w:t>
            </w:r>
          </w:p>
        </w:tc>
        <w:tc>
          <w:tcPr>
            <w:tcW w:w="10421" w:type="dxa"/>
            <w:vAlign w:val="center"/>
          </w:tcPr>
          <w:p w14:paraId="7B337AD2">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This is a cross-sectional study with no follow-up period.</w:t>
            </w:r>
          </w:p>
        </w:tc>
      </w:tr>
      <w:bookmarkEnd w:id="69"/>
      <w:bookmarkEnd w:id="70"/>
      <w:tr w14:paraId="5473AA9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1196" w:type="dxa"/>
            <w:vMerge w:val="restart"/>
          </w:tcPr>
          <w:p w14:paraId="7CD3AE52">
            <w:pPr>
              <w:tabs>
                <w:tab w:val="left" w:pos="5400"/>
              </w:tabs>
              <w:rPr>
                <w:bCs/>
                <w:sz w:val="20"/>
              </w:rPr>
            </w:pPr>
            <w:bookmarkStart w:id="71" w:name="bold38" w:colFirst="0" w:colLast="0"/>
            <w:bookmarkStart w:id="72" w:name="italic38" w:colFirst="0" w:colLast="0"/>
            <w:r>
              <w:rPr>
                <w:bCs/>
                <w:sz w:val="20"/>
              </w:rPr>
              <w:t>Outcome data</w:t>
            </w:r>
          </w:p>
        </w:tc>
        <w:tc>
          <w:tcPr>
            <w:tcW w:w="705" w:type="dxa"/>
            <w:vMerge w:val="restart"/>
          </w:tcPr>
          <w:p w14:paraId="51FE0BAB">
            <w:pPr>
              <w:tabs>
                <w:tab w:val="left" w:pos="5400"/>
              </w:tabs>
              <w:jc w:val="center"/>
              <w:rPr>
                <w:sz w:val="20"/>
              </w:rPr>
            </w:pPr>
            <w:r>
              <w:rPr>
                <w:sz w:val="20"/>
              </w:rPr>
              <w:t>15</w:t>
            </w:r>
            <w:bookmarkStart w:id="73" w:name="bold39"/>
            <w:r>
              <w:rPr>
                <w:bCs/>
                <w:sz w:val="20"/>
              </w:rPr>
              <w:t>*</w:t>
            </w:r>
            <w:bookmarkEnd w:id="73"/>
          </w:p>
        </w:tc>
        <w:tc>
          <w:tcPr>
            <w:tcW w:w="1815" w:type="dxa"/>
          </w:tcPr>
          <w:p w14:paraId="4FB2D073">
            <w:pPr>
              <w:tabs>
                <w:tab w:val="left" w:pos="5400"/>
              </w:tabs>
              <w:rPr>
                <w:sz w:val="20"/>
                <w:highlight w:val="none"/>
              </w:rPr>
            </w:pPr>
            <w:r>
              <w:rPr>
                <w:i/>
                <w:sz w:val="20"/>
                <w:highlight w:val="none"/>
              </w:rPr>
              <w:t>Cohort study</w:t>
            </w:r>
            <w:r>
              <w:rPr>
                <w:sz w:val="20"/>
                <w:highlight w:val="none"/>
              </w:rPr>
              <w:t>—Report numbers of outcome events or summary measures over time</w:t>
            </w:r>
          </w:p>
        </w:tc>
        <w:tc>
          <w:tcPr>
            <w:tcW w:w="855" w:type="dxa"/>
            <w:vAlign w:val="center"/>
          </w:tcPr>
          <w:p w14:paraId="1E831203">
            <w:pPr>
              <w:keepNext w:val="0"/>
              <w:keepLines w:val="0"/>
              <w:widowControl/>
              <w:suppressLineNumbers w:val="0"/>
              <w:jc w:val="center"/>
              <w:textAlignment w:val="center"/>
              <w:rPr>
                <w:i/>
                <w:sz w:val="20"/>
                <w:highlight w:val="none"/>
              </w:rPr>
            </w:pPr>
            <w:r>
              <w:rPr>
                <w:rFonts w:hint="default" w:ascii="Arial" w:hAnsi="Arial" w:eastAsia="等线" w:cs="Arial"/>
                <w:i w:val="0"/>
                <w:iCs w:val="0"/>
                <w:color w:val="333333"/>
                <w:kern w:val="0"/>
                <w:sz w:val="20"/>
                <w:szCs w:val="20"/>
                <w:highlight w:val="none"/>
                <w:u w:val="none"/>
                <w:lang w:val="en-US" w:eastAsia="zh-CN" w:bidi="ar"/>
              </w:rPr>
              <w:t>N/A</w:t>
            </w:r>
          </w:p>
        </w:tc>
        <w:tc>
          <w:tcPr>
            <w:tcW w:w="10421" w:type="dxa"/>
            <w:vAlign w:val="center"/>
          </w:tcPr>
          <w:p w14:paraId="4FFA6442">
            <w:pPr>
              <w:keepNext w:val="0"/>
              <w:keepLines w:val="0"/>
              <w:widowControl/>
              <w:suppressLineNumbers w:val="0"/>
              <w:jc w:val="left"/>
              <w:textAlignment w:val="center"/>
              <w:rPr>
                <w:rFonts w:hint="default"/>
                <w:i/>
                <w:sz w:val="20"/>
                <w:lang w:val="en-US"/>
              </w:rPr>
            </w:pPr>
            <w:r>
              <w:rPr>
                <w:rFonts w:hint="default" w:ascii="Arial" w:hAnsi="Arial" w:eastAsia="等线" w:cs="Arial"/>
                <w:i w:val="0"/>
                <w:iCs w:val="0"/>
                <w:color w:val="333333"/>
                <w:kern w:val="0"/>
                <w:sz w:val="20"/>
                <w:szCs w:val="20"/>
                <w:u w:val="none"/>
                <w:lang w:val="en-US" w:eastAsia="zh-CN" w:bidi="ar"/>
              </w:rPr>
              <w:t>This is a cross-sectional study</w:t>
            </w:r>
            <w:r>
              <w:rPr>
                <w:rFonts w:hint="eastAsia" w:ascii="Arial" w:hAnsi="Arial" w:eastAsia="等线" w:cs="Arial"/>
                <w:i w:val="0"/>
                <w:iCs w:val="0"/>
                <w:color w:val="333333"/>
                <w:kern w:val="0"/>
                <w:sz w:val="20"/>
                <w:szCs w:val="20"/>
                <w:u w:val="none"/>
                <w:lang w:val="en-US" w:eastAsia="zh-CN" w:bidi="ar"/>
              </w:rPr>
              <w:t>.</w:t>
            </w:r>
          </w:p>
        </w:tc>
      </w:tr>
      <w:tr w14:paraId="0EE3EE8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196" w:type="dxa"/>
            <w:vMerge w:val="continue"/>
          </w:tcPr>
          <w:p w14:paraId="48834A09">
            <w:pPr>
              <w:tabs>
                <w:tab w:val="left" w:pos="5400"/>
              </w:tabs>
              <w:rPr>
                <w:bCs/>
                <w:sz w:val="20"/>
              </w:rPr>
            </w:pPr>
          </w:p>
        </w:tc>
        <w:tc>
          <w:tcPr>
            <w:tcW w:w="705" w:type="dxa"/>
            <w:vMerge w:val="continue"/>
          </w:tcPr>
          <w:p w14:paraId="02E98D3A">
            <w:pPr>
              <w:tabs>
                <w:tab w:val="left" w:pos="5400"/>
              </w:tabs>
              <w:jc w:val="center"/>
              <w:rPr>
                <w:sz w:val="20"/>
              </w:rPr>
            </w:pPr>
          </w:p>
        </w:tc>
        <w:tc>
          <w:tcPr>
            <w:tcW w:w="1815" w:type="dxa"/>
          </w:tcPr>
          <w:p w14:paraId="550A755B">
            <w:pPr>
              <w:tabs>
                <w:tab w:val="left" w:pos="5400"/>
              </w:tabs>
              <w:rPr>
                <w:i/>
                <w:sz w:val="20"/>
                <w:highlight w:val="none"/>
              </w:rPr>
            </w:pPr>
            <w:r>
              <w:rPr>
                <w:i/>
                <w:sz w:val="20"/>
                <w:highlight w:val="none"/>
              </w:rPr>
              <w:t>Case-control study—</w:t>
            </w:r>
            <w:r>
              <w:rPr>
                <w:sz w:val="20"/>
                <w:highlight w:val="none"/>
              </w:rPr>
              <w:t>Report numbers in each exposure category, or summary measures of exposure</w:t>
            </w:r>
          </w:p>
        </w:tc>
        <w:tc>
          <w:tcPr>
            <w:tcW w:w="855" w:type="dxa"/>
            <w:vAlign w:val="center"/>
          </w:tcPr>
          <w:p w14:paraId="6F381887">
            <w:pPr>
              <w:keepNext w:val="0"/>
              <w:keepLines w:val="0"/>
              <w:widowControl/>
              <w:suppressLineNumbers w:val="0"/>
              <w:jc w:val="center"/>
              <w:textAlignment w:val="center"/>
              <w:rPr>
                <w:i/>
                <w:sz w:val="20"/>
                <w:highlight w:val="none"/>
              </w:rPr>
            </w:pPr>
            <w:r>
              <w:rPr>
                <w:rFonts w:hint="default" w:ascii="Arial" w:hAnsi="Arial" w:eastAsia="等线" w:cs="Arial"/>
                <w:i w:val="0"/>
                <w:iCs w:val="0"/>
                <w:color w:val="333333"/>
                <w:kern w:val="0"/>
                <w:sz w:val="20"/>
                <w:szCs w:val="20"/>
                <w:highlight w:val="none"/>
                <w:u w:val="none"/>
                <w:lang w:val="en-US" w:eastAsia="zh-CN" w:bidi="ar"/>
              </w:rPr>
              <w:t>N/A</w:t>
            </w:r>
          </w:p>
        </w:tc>
        <w:tc>
          <w:tcPr>
            <w:tcW w:w="10421" w:type="dxa"/>
            <w:vAlign w:val="center"/>
          </w:tcPr>
          <w:p w14:paraId="3D8F1E6B">
            <w:pPr>
              <w:keepNext w:val="0"/>
              <w:keepLines w:val="0"/>
              <w:widowControl/>
              <w:suppressLineNumbers w:val="0"/>
              <w:jc w:val="left"/>
              <w:textAlignment w:val="center"/>
              <w:rPr>
                <w:rFonts w:hint="default"/>
                <w:i/>
                <w:sz w:val="20"/>
                <w:lang w:val="en-US"/>
              </w:rPr>
            </w:pPr>
            <w:r>
              <w:rPr>
                <w:rFonts w:hint="default" w:ascii="Arial" w:hAnsi="Arial" w:eastAsia="等线" w:cs="Arial"/>
                <w:i w:val="0"/>
                <w:iCs w:val="0"/>
                <w:color w:val="333333"/>
                <w:kern w:val="0"/>
                <w:sz w:val="20"/>
                <w:szCs w:val="20"/>
                <w:u w:val="none"/>
                <w:lang w:val="en-US" w:eastAsia="zh-CN" w:bidi="ar"/>
              </w:rPr>
              <w:t>This is a cross-sectional study</w:t>
            </w:r>
            <w:r>
              <w:rPr>
                <w:rFonts w:hint="eastAsia" w:ascii="Arial" w:hAnsi="Arial" w:eastAsia="等线" w:cs="Arial"/>
                <w:i w:val="0"/>
                <w:iCs w:val="0"/>
                <w:color w:val="333333"/>
                <w:kern w:val="0"/>
                <w:sz w:val="20"/>
                <w:szCs w:val="20"/>
                <w:u w:val="none"/>
                <w:lang w:val="en-US" w:eastAsia="zh-CN" w:bidi="ar"/>
              </w:rPr>
              <w:t>.</w:t>
            </w:r>
          </w:p>
        </w:tc>
      </w:tr>
      <w:tr w14:paraId="2D9429F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196" w:type="dxa"/>
            <w:vMerge w:val="continue"/>
          </w:tcPr>
          <w:p w14:paraId="0950F9C6">
            <w:pPr>
              <w:tabs>
                <w:tab w:val="left" w:pos="5400"/>
              </w:tabs>
              <w:rPr>
                <w:bCs/>
                <w:sz w:val="20"/>
              </w:rPr>
            </w:pPr>
          </w:p>
        </w:tc>
        <w:tc>
          <w:tcPr>
            <w:tcW w:w="705" w:type="dxa"/>
            <w:vMerge w:val="continue"/>
          </w:tcPr>
          <w:p w14:paraId="1FF65DC3">
            <w:pPr>
              <w:tabs>
                <w:tab w:val="left" w:pos="5400"/>
              </w:tabs>
              <w:jc w:val="center"/>
              <w:rPr>
                <w:sz w:val="20"/>
              </w:rPr>
            </w:pPr>
          </w:p>
        </w:tc>
        <w:tc>
          <w:tcPr>
            <w:tcW w:w="1815" w:type="dxa"/>
          </w:tcPr>
          <w:p w14:paraId="528FF2AF">
            <w:pPr>
              <w:tabs>
                <w:tab w:val="left" w:pos="5400"/>
              </w:tabs>
              <w:rPr>
                <w:i/>
                <w:sz w:val="20"/>
                <w:highlight w:val="none"/>
              </w:rPr>
            </w:pPr>
            <w:r>
              <w:rPr>
                <w:i/>
                <w:sz w:val="20"/>
                <w:highlight w:val="none"/>
              </w:rPr>
              <w:t>Cross-sectional study—</w:t>
            </w:r>
            <w:r>
              <w:rPr>
                <w:sz w:val="20"/>
                <w:highlight w:val="none"/>
              </w:rPr>
              <w:t>Report numbers of outcome events or summary measures</w:t>
            </w:r>
          </w:p>
        </w:tc>
        <w:tc>
          <w:tcPr>
            <w:tcW w:w="855" w:type="dxa"/>
            <w:vAlign w:val="center"/>
          </w:tcPr>
          <w:p w14:paraId="13B1BF85">
            <w:pPr>
              <w:keepNext w:val="0"/>
              <w:keepLines w:val="0"/>
              <w:widowControl/>
              <w:suppressLineNumbers w:val="0"/>
              <w:jc w:val="center"/>
              <w:textAlignment w:val="center"/>
              <w:rPr>
                <w:i/>
                <w:sz w:val="20"/>
                <w:highlight w:val="none"/>
              </w:rPr>
            </w:pPr>
            <w:r>
              <w:rPr>
                <w:rFonts w:hint="eastAsia" w:ascii="Arial" w:hAnsi="Arial" w:eastAsia="等线" w:cs="Arial"/>
                <w:i w:val="0"/>
                <w:iCs w:val="0"/>
                <w:color w:val="333333"/>
                <w:kern w:val="0"/>
                <w:sz w:val="20"/>
                <w:szCs w:val="20"/>
                <w:highlight w:val="none"/>
                <w:u w:val="none"/>
                <w:lang w:val="en-US" w:eastAsia="zh-CN" w:bidi="ar"/>
              </w:rPr>
              <w:t>4</w:t>
            </w:r>
          </w:p>
        </w:tc>
        <w:tc>
          <w:tcPr>
            <w:tcW w:w="10421" w:type="dxa"/>
            <w:vAlign w:val="center"/>
          </w:tcPr>
          <w:p w14:paraId="1792E07E">
            <w:pPr>
              <w:keepNext w:val="0"/>
              <w:keepLines w:val="0"/>
              <w:widowControl/>
              <w:suppressLineNumbers w:val="0"/>
              <w:jc w:val="left"/>
              <w:textAlignment w:val="center"/>
              <w:rPr>
                <w:i/>
                <w:sz w:val="20"/>
              </w:rPr>
            </w:pPr>
            <w:r>
              <w:rPr>
                <w:rFonts w:hint="default" w:ascii="Arial" w:hAnsi="Arial" w:eastAsia="等线" w:cs="Arial"/>
                <w:i w:val="0"/>
                <w:iCs w:val="0"/>
                <w:color w:val="333333"/>
                <w:kern w:val="0"/>
                <w:sz w:val="20"/>
                <w:szCs w:val="20"/>
                <w:u w:val="none"/>
                <w:lang w:val="en-US" w:eastAsia="zh-CN" w:bidi="ar"/>
              </w:rPr>
              <w:t>A total of 1,792 respondents were included</w:t>
            </w:r>
          </w:p>
        </w:tc>
      </w:tr>
      <w:bookmarkEnd w:id="71"/>
      <w:bookmarkEnd w:id="72"/>
      <w:tr w14:paraId="79C340A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restart"/>
          </w:tcPr>
          <w:p w14:paraId="2FBF44E1">
            <w:pPr>
              <w:tabs>
                <w:tab w:val="left" w:pos="5400"/>
              </w:tabs>
              <w:rPr>
                <w:bCs/>
                <w:sz w:val="20"/>
              </w:rPr>
            </w:pPr>
            <w:bookmarkStart w:id="74" w:name="bold41" w:colFirst="0" w:colLast="0"/>
            <w:bookmarkStart w:id="75" w:name="italic40" w:colFirst="0" w:colLast="0"/>
            <w:r>
              <w:rPr>
                <w:bCs/>
                <w:sz w:val="20"/>
              </w:rPr>
              <w:t>Main results</w:t>
            </w:r>
          </w:p>
        </w:tc>
        <w:tc>
          <w:tcPr>
            <w:tcW w:w="705" w:type="dxa"/>
            <w:vMerge w:val="restart"/>
          </w:tcPr>
          <w:p w14:paraId="16B37CBA">
            <w:pPr>
              <w:tabs>
                <w:tab w:val="left" w:pos="5400"/>
              </w:tabs>
              <w:jc w:val="center"/>
              <w:rPr>
                <w:sz w:val="20"/>
              </w:rPr>
            </w:pPr>
            <w:r>
              <w:rPr>
                <w:sz w:val="20"/>
              </w:rPr>
              <w:t>16</w:t>
            </w:r>
          </w:p>
        </w:tc>
        <w:tc>
          <w:tcPr>
            <w:tcW w:w="1815" w:type="dxa"/>
          </w:tcPr>
          <w:p w14:paraId="72AD8920">
            <w:pPr>
              <w:tabs>
                <w:tab w:val="left" w:pos="5400"/>
              </w:tabs>
              <w:rPr>
                <w:sz w:val="20"/>
                <w:highlight w:val="none"/>
              </w:rPr>
            </w:pPr>
            <w:r>
              <w:rPr>
                <w:sz w:val="20"/>
                <w:highlight w:val="none"/>
              </w:rPr>
              <w:t>(</w:t>
            </w:r>
            <w:r>
              <w:rPr>
                <w:i/>
                <w:sz w:val="20"/>
                <w:highlight w:val="none"/>
              </w:rPr>
              <w:t>a</w:t>
            </w:r>
            <w:r>
              <w:rPr>
                <w:sz w:val="20"/>
                <w:highlight w:val="none"/>
              </w:rPr>
              <w:t>) Give unadjusted estimates and, if applicable, confounder-adjusted estimates and their precision (eg, 95% confidence interval). Make clear which confounders were adjusted for and why they were included</w:t>
            </w:r>
          </w:p>
        </w:tc>
        <w:tc>
          <w:tcPr>
            <w:tcW w:w="855" w:type="dxa"/>
            <w:vAlign w:val="center"/>
          </w:tcPr>
          <w:p w14:paraId="4CE2E5EC">
            <w:pPr>
              <w:keepNext w:val="0"/>
              <w:keepLines w:val="0"/>
              <w:widowControl/>
              <w:suppressLineNumbers w:val="0"/>
              <w:jc w:val="center"/>
              <w:textAlignment w:val="center"/>
              <w:rPr>
                <w:sz w:val="20"/>
                <w:highlight w:val="none"/>
              </w:rPr>
            </w:pPr>
            <w:r>
              <w:rPr>
                <w:rFonts w:hint="default" w:ascii="Arial" w:hAnsi="Arial" w:eastAsia="等线" w:cs="Arial"/>
                <w:i w:val="0"/>
                <w:iCs w:val="0"/>
                <w:color w:val="333333"/>
                <w:kern w:val="0"/>
                <w:sz w:val="20"/>
                <w:szCs w:val="20"/>
                <w:highlight w:val="none"/>
                <w:u w:val="none"/>
                <w:lang w:val="en-US" w:eastAsia="zh-CN" w:bidi="ar"/>
              </w:rPr>
              <w:t>N/A</w:t>
            </w:r>
          </w:p>
        </w:tc>
        <w:tc>
          <w:tcPr>
            <w:tcW w:w="10421" w:type="dxa"/>
            <w:vAlign w:val="center"/>
          </w:tcPr>
          <w:p w14:paraId="79421FAE">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No relative risk estimates were generated in this cross-sectional study, so translation to absolute risk was not applicable.</w:t>
            </w:r>
          </w:p>
        </w:tc>
      </w:tr>
      <w:bookmarkEnd w:id="74"/>
      <w:bookmarkEnd w:id="75"/>
      <w:tr w14:paraId="0E7F0D2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46E60DA8">
            <w:pPr>
              <w:tabs>
                <w:tab w:val="left" w:pos="5400"/>
              </w:tabs>
              <w:rPr>
                <w:bCs/>
                <w:sz w:val="20"/>
              </w:rPr>
            </w:pPr>
            <w:bookmarkStart w:id="76" w:name="bold42" w:colFirst="0" w:colLast="0"/>
            <w:bookmarkStart w:id="77" w:name="italic41" w:colFirst="0" w:colLast="0"/>
          </w:p>
        </w:tc>
        <w:tc>
          <w:tcPr>
            <w:tcW w:w="705" w:type="dxa"/>
            <w:vMerge w:val="continue"/>
          </w:tcPr>
          <w:p w14:paraId="60B60C9F">
            <w:pPr>
              <w:tabs>
                <w:tab w:val="left" w:pos="5400"/>
              </w:tabs>
              <w:jc w:val="center"/>
              <w:rPr>
                <w:sz w:val="20"/>
              </w:rPr>
            </w:pPr>
          </w:p>
        </w:tc>
        <w:tc>
          <w:tcPr>
            <w:tcW w:w="1815" w:type="dxa"/>
          </w:tcPr>
          <w:p w14:paraId="26B51172">
            <w:pPr>
              <w:tabs>
                <w:tab w:val="left" w:pos="5400"/>
              </w:tabs>
              <w:rPr>
                <w:sz w:val="20"/>
                <w:highlight w:val="none"/>
              </w:rPr>
            </w:pPr>
            <w:r>
              <w:rPr>
                <w:sz w:val="20"/>
                <w:highlight w:val="none"/>
              </w:rPr>
              <w:t>(</w:t>
            </w:r>
            <w:r>
              <w:rPr>
                <w:i/>
                <w:sz w:val="20"/>
                <w:highlight w:val="none"/>
              </w:rPr>
              <w:t>b</w:t>
            </w:r>
            <w:r>
              <w:rPr>
                <w:sz w:val="20"/>
                <w:highlight w:val="none"/>
              </w:rPr>
              <w:t>) Report category boundaries when continuous variables were categorized</w:t>
            </w:r>
          </w:p>
        </w:tc>
        <w:tc>
          <w:tcPr>
            <w:tcW w:w="855" w:type="dxa"/>
            <w:vAlign w:val="center"/>
          </w:tcPr>
          <w:p w14:paraId="442F8CF8">
            <w:pPr>
              <w:keepNext w:val="0"/>
              <w:keepLines w:val="0"/>
              <w:widowControl/>
              <w:suppressLineNumbers w:val="0"/>
              <w:jc w:val="center"/>
              <w:textAlignment w:val="center"/>
              <w:rPr>
                <w:sz w:val="20"/>
                <w:highlight w:val="none"/>
              </w:rPr>
            </w:pPr>
            <w:r>
              <w:rPr>
                <w:rFonts w:hint="default" w:ascii="Arial" w:hAnsi="Arial" w:eastAsia="等线" w:cs="Arial"/>
                <w:i w:val="0"/>
                <w:iCs w:val="0"/>
                <w:color w:val="333333"/>
                <w:kern w:val="0"/>
                <w:sz w:val="20"/>
                <w:szCs w:val="20"/>
                <w:highlight w:val="none"/>
                <w:u w:val="none"/>
                <w:lang w:val="en-US" w:eastAsia="zh-CN" w:bidi="ar"/>
              </w:rPr>
              <w:t>N/A</w:t>
            </w:r>
          </w:p>
        </w:tc>
        <w:tc>
          <w:tcPr>
            <w:tcW w:w="10421" w:type="dxa"/>
            <w:vAlign w:val="center"/>
          </w:tcPr>
          <w:p w14:paraId="2FD2FEAD">
            <w:pPr>
              <w:keepNext w:val="0"/>
              <w:keepLines w:val="0"/>
              <w:widowControl/>
              <w:suppressLineNumbers w:val="0"/>
              <w:jc w:val="left"/>
              <w:textAlignment w:val="center"/>
              <w:rPr>
                <w:sz w:val="20"/>
              </w:rPr>
            </w:pPr>
            <w:r>
              <w:rPr>
                <w:rFonts w:hint="eastAsia"/>
                <w:sz w:val="20"/>
              </w:rPr>
              <w:t>The continuous variables were not classified.</w:t>
            </w:r>
          </w:p>
        </w:tc>
      </w:tr>
      <w:bookmarkEnd w:id="76"/>
      <w:bookmarkEnd w:id="77"/>
      <w:tr w14:paraId="1D0C76B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vMerge w:val="continue"/>
          </w:tcPr>
          <w:p w14:paraId="099C215F">
            <w:pPr>
              <w:tabs>
                <w:tab w:val="left" w:pos="5400"/>
              </w:tabs>
              <w:rPr>
                <w:bCs/>
                <w:sz w:val="20"/>
              </w:rPr>
            </w:pPr>
            <w:bookmarkStart w:id="78" w:name="bold43" w:colFirst="0" w:colLast="0"/>
            <w:bookmarkStart w:id="79" w:name="italic42" w:colFirst="0" w:colLast="0"/>
          </w:p>
        </w:tc>
        <w:tc>
          <w:tcPr>
            <w:tcW w:w="705" w:type="dxa"/>
            <w:vMerge w:val="continue"/>
          </w:tcPr>
          <w:p w14:paraId="5A3CD543">
            <w:pPr>
              <w:tabs>
                <w:tab w:val="left" w:pos="5400"/>
              </w:tabs>
              <w:jc w:val="center"/>
              <w:rPr>
                <w:sz w:val="20"/>
              </w:rPr>
            </w:pPr>
          </w:p>
        </w:tc>
        <w:tc>
          <w:tcPr>
            <w:tcW w:w="1815" w:type="dxa"/>
          </w:tcPr>
          <w:p w14:paraId="754C4BEC">
            <w:pPr>
              <w:tabs>
                <w:tab w:val="left" w:pos="5400"/>
              </w:tabs>
              <w:rPr>
                <w:sz w:val="20"/>
                <w:highlight w:val="none"/>
              </w:rPr>
            </w:pPr>
            <w:r>
              <w:rPr>
                <w:sz w:val="20"/>
                <w:highlight w:val="none"/>
              </w:rPr>
              <w:t>(</w:t>
            </w:r>
            <w:r>
              <w:rPr>
                <w:i/>
                <w:sz w:val="20"/>
                <w:highlight w:val="none"/>
              </w:rPr>
              <w:t>c</w:t>
            </w:r>
            <w:r>
              <w:rPr>
                <w:sz w:val="20"/>
                <w:highlight w:val="none"/>
              </w:rPr>
              <w:t>) If relevant, consider translating estimates of relative risk into absolute risk for a meaningful time period</w:t>
            </w:r>
          </w:p>
        </w:tc>
        <w:tc>
          <w:tcPr>
            <w:tcW w:w="855" w:type="dxa"/>
            <w:vAlign w:val="center"/>
          </w:tcPr>
          <w:p w14:paraId="7977F949">
            <w:pPr>
              <w:keepNext w:val="0"/>
              <w:keepLines w:val="0"/>
              <w:widowControl/>
              <w:suppressLineNumbers w:val="0"/>
              <w:jc w:val="center"/>
              <w:textAlignment w:val="center"/>
              <w:rPr>
                <w:sz w:val="20"/>
                <w:highlight w:val="none"/>
              </w:rPr>
            </w:pPr>
            <w:r>
              <w:rPr>
                <w:rFonts w:hint="default" w:ascii="Arial" w:hAnsi="Arial" w:eastAsia="等线" w:cs="Arial"/>
                <w:i w:val="0"/>
                <w:iCs w:val="0"/>
                <w:color w:val="333333"/>
                <w:kern w:val="0"/>
                <w:sz w:val="20"/>
                <w:szCs w:val="20"/>
                <w:highlight w:val="none"/>
                <w:u w:val="none"/>
                <w:lang w:val="en-US" w:eastAsia="zh-CN" w:bidi="ar"/>
              </w:rPr>
              <w:t>N/A</w:t>
            </w:r>
          </w:p>
        </w:tc>
        <w:tc>
          <w:tcPr>
            <w:tcW w:w="10421" w:type="dxa"/>
            <w:vAlign w:val="center"/>
          </w:tcPr>
          <w:p w14:paraId="5DBEE8F8">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No relative risk estimates were generated in this cross-sectional study, so translation to absolute risk was not applicable.</w:t>
            </w:r>
          </w:p>
        </w:tc>
      </w:tr>
      <w:bookmarkEnd w:id="78"/>
      <w:bookmarkEnd w:id="79"/>
      <w:tr w14:paraId="127E609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5523000A">
            <w:pPr>
              <w:tabs>
                <w:tab w:val="left" w:pos="5400"/>
              </w:tabs>
              <w:rPr>
                <w:bCs/>
                <w:sz w:val="20"/>
              </w:rPr>
            </w:pPr>
            <w:bookmarkStart w:id="80" w:name="italic43"/>
            <w:bookmarkStart w:id="81" w:name="bold44"/>
            <w:r>
              <w:rPr>
                <w:bCs/>
                <w:sz w:val="20"/>
              </w:rPr>
              <w:t>Other analyses</w:t>
            </w:r>
            <w:bookmarkEnd w:id="80"/>
            <w:bookmarkEnd w:id="81"/>
          </w:p>
        </w:tc>
        <w:tc>
          <w:tcPr>
            <w:tcW w:w="705" w:type="dxa"/>
          </w:tcPr>
          <w:p w14:paraId="3D98F4AE">
            <w:pPr>
              <w:tabs>
                <w:tab w:val="left" w:pos="5400"/>
              </w:tabs>
              <w:jc w:val="center"/>
              <w:rPr>
                <w:sz w:val="20"/>
              </w:rPr>
            </w:pPr>
            <w:r>
              <w:rPr>
                <w:sz w:val="20"/>
              </w:rPr>
              <w:t>17</w:t>
            </w:r>
          </w:p>
        </w:tc>
        <w:tc>
          <w:tcPr>
            <w:tcW w:w="1815" w:type="dxa"/>
          </w:tcPr>
          <w:p w14:paraId="53F07898">
            <w:pPr>
              <w:tabs>
                <w:tab w:val="left" w:pos="5400"/>
              </w:tabs>
              <w:rPr>
                <w:sz w:val="20"/>
                <w:highlight w:val="none"/>
              </w:rPr>
            </w:pPr>
            <w:r>
              <w:rPr>
                <w:sz w:val="20"/>
                <w:highlight w:val="none"/>
              </w:rPr>
              <w:t>Report other analyses done—eg analyses of subgroups and interactions, and sensitivity analyses</w:t>
            </w:r>
          </w:p>
        </w:tc>
        <w:tc>
          <w:tcPr>
            <w:tcW w:w="855" w:type="dxa"/>
            <w:vAlign w:val="center"/>
          </w:tcPr>
          <w:p w14:paraId="3539DCF1">
            <w:pPr>
              <w:keepNext w:val="0"/>
              <w:keepLines w:val="0"/>
              <w:widowControl/>
              <w:suppressLineNumbers w:val="0"/>
              <w:jc w:val="center"/>
              <w:textAlignment w:val="center"/>
              <w:rPr>
                <w:sz w:val="20"/>
                <w:highlight w:val="none"/>
              </w:rPr>
            </w:pPr>
            <w:r>
              <w:rPr>
                <w:rFonts w:hint="eastAsia" w:ascii="Arial" w:hAnsi="Arial" w:eastAsia="等线" w:cs="Arial"/>
                <w:i w:val="0"/>
                <w:iCs w:val="0"/>
                <w:color w:val="333333"/>
                <w:kern w:val="0"/>
                <w:sz w:val="20"/>
                <w:szCs w:val="20"/>
                <w:highlight w:val="none"/>
                <w:u w:val="none"/>
                <w:lang w:val="en-US" w:eastAsia="zh-CN" w:bidi="ar"/>
              </w:rPr>
              <w:t>4</w:t>
            </w:r>
          </w:p>
        </w:tc>
        <w:tc>
          <w:tcPr>
            <w:tcW w:w="10421" w:type="dxa"/>
            <w:vAlign w:val="center"/>
          </w:tcPr>
          <w:p w14:paraId="6288FFB5">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Univariate subgroup analyses were conducted to compare CPR knowledge, attitudes, practices</w:t>
            </w:r>
            <w:r>
              <w:rPr>
                <w:rFonts w:hint="eastAsia" w:ascii="Arial" w:hAnsi="Arial" w:eastAsia="等线" w:cs="Arial"/>
                <w:i w:val="0"/>
                <w:iCs w:val="0"/>
                <w:color w:val="333333"/>
                <w:kern w:val="0"/>
                <w:sz w:val="20"/>
                <w:szCs w:val="20"/>
                <w:u w:val="none"/>
                <w:lang w:val="en-US" w:eastAsia="zh-CN" w:bidi="ar"/>
              </w:rPr>
              <w:t xml:space="preserve"> intention</w:t>
            </w:r>
            <w:r>
              <w:rPr>
                <w:rFonts w:hint="default" w:ascii="Arial" w:hAnsi="Arial" w:eastAsia="等线" w:cs="Arial"/>
                <w:i w:val="0"/>
                <w:iCs w:val="0"/>
                <w:color w:val="333333"/>
                <w:kern w:val="0"/>
                <w:sz w:val="20"/>
                <w:szCs w:val="20"/>
                <w:u w:val="none"/>
                <w:lang w:val="en-US" w:eastAsia="zh-CN" w:bidi="ar"/>
              </w:rPr>
              <w:t>, and barriers across demographic and CPR-related experience subgroups. Multivariable linear regression was used to identify factors associated with CPR knowledge score. No interaction analyses or sensitivity analyses were performed.</w:t>
            </w:r>
          </w:p>
        </w:tc>
      </w:tr>
      <w:tr w14:paraId="70F97B0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4992" w:type="dxa"/>
            <w:gridSpan w:val="5"/>
          </w:tcPr>
          <w:p w14:paraId="7C031E9A">
            <w:pPr>
              <w:pStyle w:val="168"/>
              <w:tabs>
                <w:tab w:val="left" w:pos="5400"/>
              </w:tabs>
              <w:rPr>
                <w:sz w:val="20"/>
                <w:highlight w:val="none"/>
              </w:rPr>
            </w:pPr>
            <w:bookmarkStart w:id="82" w:name="italic44"/>
            <w:bookmarkStart w:id="83" w:name="bold45"/>
            <w:r>
              <w:rPr>
                <w:sz w:val="20"/>
                <w:highlight w:val="none"/>
              </w:rPr>
              <w:t>Discussion</w:t>
            </w:r>
            <w:bookmarkEnd w:id="82"/>
            <w:bookmarkEnd w:id="83"/>
          </w:p>
        </w:tc>
      </w:tr>
      <w:tr w14:paraId="236E8B2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0668CD7C">
            <w:pPr>
              <w:tabs>
                <w:tab w:val="left" w:pos="5400"/>
              </w:tabs>
              <w:rPr>
                <w:bCs/>
                <w:sz w:val="20"/>
              </w:rPr>
            </w:pPr>
            <w:bookmarkStart w:id="84" w:name="bold46" w:colFirst="0" w:colLast="0"/>
            <w:bookmarkStart w:id="85" w:name="italic45" w:colFirst="0" w:colLast="0"/>
            <w:r>
              <w:rPr>
                <w:bCs/>
                <w:sz w:val="20"/>
              </w:rPr>
              <w:t>Key results</w:t>
            </w:r>
          </w:p>
        </w:tc>
        <w:tc>
          <w:tcPr>
            <w:tcW w:w="705" w:type="dxa"/>
          </w:tcPr>
          <w:p w14:paraId="2E0B38CB">
            <w:pPr>
              <w:tabs>
                <w:tab w:val="left" w:pos="5400"/>
              </w:tabs>
              <w:jc w:val="center"/>
              <w:rPr>
                <w:sz w:val="20"/>
              </w:rPr>
            </w:pPr>
            <w:r>
              <w:rPr>
                <w:sz w:val="20"/>
              </w:rPr>
              <w:t>18</w:t>
            </w:r>
          </w:p>
        </w:tc>
        <w:tc>
          <w:tcPr>
            <w:tcW w:w="1815" w:type="dxa"/>
          </w:tcPr>
          <w:p w14:paraId="4329DE4B">
            <w:pPr>
              <w:tabs>
                <w:tab w:val="left" w:pos="5400"/>
              </w:tabs>
              <w:rPr>
                <w:sz w:val="20"/>
                <w:highlight w:val="none"/>
              </w:rPr>
            </w:pPr>
            <w:r>
              <w:rPr>
                <w:sz w:val="20"/>
                <w:highlight w:val="none"/>
              </w:rPr>
              <w:t>Summarise key results with reference to study objectives</w:t>
            </w:r>
          </w:p>
        </w:tc>
        <w:tc>
          <w:tcPr>
            <w:tcW w:w="855" w:type="dxa"/>
            <w:vAlign w:val="center"/>
          </w:tcPr>
          <w:p w14:paraId="4AD90A98">
            <w:pPr>
              <w:keepNext w:val="0"/>
              <w:keepLines w:val="0"/>
              <w:widowControl/>
              <w:suppressLineNumbers w:val="0"/>
              <w:jc w:val="center"/>
              <w:textAlignment w:val="center"/>
              <w:rPr>
                <w:rFonts w:hint="default"/>
                <w:sz w:val="20"/>
                <w:highlight w:val="none"/>
                <w:lang w:val="en-US"/>
              </w:rPr>
            </w:pPr>
            <w:r>
              <w:rPr>
                <w:rFonts w:hint="eastAsia" w:ascii="Arial" w:hAnsi="Arial" w:eastAsia="等线" w:cs="Arial"/>
                <w:i w:val="0"/>
                <w:iCs w:val="0"/>
                <w:color w:val="333333"/>
                <w:kern w:val="0"/>
                <w:sz w:val="20"/>
                <w:szCs w:val="20"/>
                <w:highlight w:val="none"/>
                <w:u w:val="none"/>
                <w:lang w:val="en-US" w:eastAsia="zh-CN" w:bidi="ar"/>
              </w:rPr>
              <w:t>4,5,6</w:t>
            </w:r>
          </w:p>
        </w:tc>
        <w:tc>
          <w:tcPr>
            <w:tcW w:w="10421" w:type="dxa"/>
            <w:vAlign w:val="center"/>
          </w:tcPr>
          <w:p w14:paraId="76981063">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 xml:space="preserve">This survey of 1,792 respondents across six African countries revealed that public CPR knowledge was generally low (mean score 1.68 out of 4). Knowledge levels differed significantly across countries. CPR awareness and prior CPR training were the main modifiable factors associated with knowledge. Although attitudes toward performing CPR were relatively favorable for certain recipients such as a child or relative, actual practices </w:t>
            </w:r>
            <w:r>
              <w:rPr>
                <w:rFonts w:hint="eastAsia" w:ascii="Arial" w:hAnsi="Arial" w:eastAsia="等线" w:cs="Arial"/>
                <w:i w:val="0"/>
                <w:iCs w:val="0"/>
                <w:color w:val="333333"/>
                <w:kern w:val="0"/>
                <w:sz w:val="20"/>
                <w:szCs w:val="20"/>
                <w:u w:val="none"/>
                <w:lang w:val="en-US" w:eastAsia="zh-CN" w:bidi="ar"/>
              </w:rPr>
              <w:t xml:space="preserve">intention </w:t>
            </w:r>
            <w:r>
              <w:rPr>
                <w:rFonts w:hint="default" w:ascii="Arial" w:hAnsi="Arial" w:eastAsia="等线" w:cs="Arial"/>
                <w:i w:val="0"/>
                <w:iCs w:val="0"/>
                <w:color w:val="333333"/>
                <w:kern w:val="0"/>
                <w:sz w:val="20"/>
                <w:szCs w:val="20"/>
                <w:u w:val="none"/>
                <w:lang w:val="en-US" w:eastAsia="zh-CN" w:bidi="ar"/>
              </w:rPr>
              <w:t>were low: only 31.8% reported that they would perform chest compressions in an emergency. Lack of CPR skills and fear of disease transmission were cited as the primary barriers to performing bystander CPR.</w:t>
            </w:r>
          </w:p>
        </w:tc>
      </w:tr>
      <w:bookmarkEnd w:id="84"/>
      <w:bookmarkEnd w:id="85"/>
      <w:tr w14:paraId="7753356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075EBD3D">
            <w:pPr>
              <w:tabs>
                <w:tab w:val="left" w:pos="5400"/>
              </w:tabs>
              <w:rPr>
                <w:bCs/>
                <w:sz w:val="20"/>
              </w:rPr>
            </w:pPr>
            <w:bookmarkStart w:id="86" w:name="bold47" w:colFirst="0" w:colLast="0"/>
            <w:bookmarkStart w:id="87" w:name="italic46" w:colFirst="0" w:colLast="0"/>
            <w:r>
              <w:rPr>
                <w:bCs/>
                <w:sz w:val="20"/>
              </w:rPr>
              <w:t>Limitations</w:t>
            </w:r>
          </w:p>
        </w:tc>
        <w:tc>
          <w:tcPr>
            <w:tcW w:w="705" w:type="dxa"/>
          </w:tcPr>
          <w:p w14:paraId="3498EB12">
            <w:pPr>
              <w:tabs>
                <w:tab w:val="left" w:pos="5400"/>
              </w:tabs>
              <w:jc w:val="center"/>
              <w:rPr>
                <w:sz w:val="20"/>
              </w:rPr>
            </w:pPr>
            <w:r>
              <w:rPr>
                <w:sz w:val="20"/>
              </w:rPr>
              <w:t>19</w:t>
            </w:r>
          </w:p>
        </w:tc>
        <w:tc>
          <w:tcPr>
            <w:tcW w:w="1815" w:type="dxa"/>
          </w:tcPr>
          <w:p w14:paraId="3410A160">
            <w:pPr>
              <w:tabs>
                <w:tab w:val="left" w:pos="5400"/>
              </w:tabs>
              <w:rPr>
                <w:sz w:val="20"/>
                <w:highlight w:val="none"/>
              </w:rPr>
            </w:pPr>
            <w:r>
              <w:rPr>
                <w:sz w:val="20"/>
                <w:highlight w:val="none"/>
              </w:rPr>
              <w:t>Discuss limitations of the study, taking into account sources of potential bias or imprecision. Discuss both direction and magnitude of any potential bias</w:t>
            </w:r>
          </w:p>
        </w:tc>
        <w:tc>
          <w:tcPr>
            <w:tcW w:w="855" w:type="dxa"/>
            <w:vAlign w:val="center"/>
          </w:tcPr>
          <w:p w14:paraId="79BC64CD">
            <w:pPr>
              <w:keepNext w:val="0"/>
              <w:keepLines w:val="0"/>
              <w:widowControl/>
              <w:suppressLineNumbers w:val="0"/>
              <w:jc w:val="center"/>
              <w:textAlignment w:val="center"/>
              <w:rPr>
                <w:sz w:val="20"/>
                <w:highlight w:val="none"/>
              </w:rPr>
            </w:pPr>
            <w:r>
              <w:rPr>
                <w:rFonts w:hint="eastAsia" w:ascii="Arial" w:hAnsi="Arial" w:eastAsia="等线" w:cs="Arial"/>
                <w:i w:val="0"/>
                <w:iCs w:val="0"/>
                <w:color w:val="333333"/>
                <w:kern w:val="0"/>
                <w:sz w:val="20"/>
                <w:szCs w:val="20"/>
                <w:highlight w:val="none"/>
                <w:u w:val="none"/>
                <w:lang w:val="en-US" w:eastAsia="zh-CN" w:bidi="ar"/>
              </w:rPr>
              <w:t>8</w:t>
            </w:r>
          </w:p>
        </w:tc>
        <w:tc>
          <w:tcPr>
            <w:tcW w:w="10421" w:type="dxa"/>
            <w:vAlign w:val="center"/>
          </w:tcPr>
          <w:p w14:paraId="0B7AF00C">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Several limitations should be acknowledged. First, convenience sampling from urban healthcare facilities may have overestimated CPR knowledge levels and limits generalizability to rural populations. Moreover, the small sample from the Republic of the Congo warrants cautious interpretation of its national estimates. In addition, the cross-sectional design precludes causal inference, particularly regarding the direction of the association between training willingness and knowledge, and longitudinal studies are therefore needed.</w:t>
            </w:r>
            <w:r>
              <w:rPr>
                <w:rFonts w:hint="eastAsia" w:ascii="Arial" w:hAnsi="Arial" w:eastAsia="等线" w:cs="Arial"/>
                <w:i w:val="0"/>
                <w:iCs w:val="0"/>
                <w:color w:val="333333"/>
                <w:kern w:val="0"/>
                <w:sz w:val="20"/>
                <w:szCs w:val="20"/>
                <w:u w:val="none"/>
                <w:lang w:val="en-US" w:eastAsia="zh-CN" w:bidi="ar"/>
              </w:rPr>
              <w:t xml:space="preserve"> </w:t>
            </w:r>
            <w:r>
              <w:rPr>
                <w:rFonts w:hint="default" w:ascii="Arial" w:hAnsi="Arial" w:eastAsia="等线" w:cs="Arial"/>
                <w:i w:val="0"/>
                <w:iCs w:val="0"/>
                <w:color w:val="333333"/>
                <w:kern w:val="0"/>
                <w:sz w:val="20"/>
                <w:szCs w:val="20"/>
                <w:u w:val="none"/>
                <w:lang w:val="en-US" w:eastAsia="zh-CN" w:bidi="ar"/>
              </w:rPr>
              <w:t xml:space="preserve">Second, with respect to measurement, CPR knowledge was assessed using four multiple-choice questions, which cannot capture actual competence. Furthermore, the questionnaire's reliability and validity were not formally assessed, and self-reported attitudes and practices </w:t>
            </w:r>
            <w:r>
              <w:rPr>
                <w:rFonts w:hint="eastAsia" w:ascii="Arial" w:hAnsi="Arial" w:eastAsia="等线" w:cs="Arial"/>
                <w:i w:val="0"/>
                <w:iCs w:val="0"/>
                <w:color w:val="333333"/>
                <w:kern w:val="0"/>
                <w:sz w:val="20"/>
                <w:szCs w:val="20"/>
                <w:u w:val="none"/>
                <w:lang w:val="en-US" w:eastAsia="zh-CN" w:bidi="ar"/>
              </w:rPr>
              <w:t xml:space="preserve">intention </w:t>
            </w:r>
            <w:r>
              <w:rPr>
                <w:rFonts w:hint="default" w:ascii="Arial" w:hAnsi="Arial" w:eastAsia="等线" w:cs="Arial"/>
                <w:i w:val="0"/>
                <w:iCs w:val="0"/>
                <w:color w:val="333333"/>
                <w:kern w:val="0"/>
                <w:sz w:val="20"/>
                <w:szCs w:val="20"/>
                <w:u w:val="none"/>
                <w:lang w:val="en-US" w:eastAsia="zh-CN" w:bidi="ar"/>
              </w:rPr>
              <w:t>may be subject to social desirability bias. Accordingly, future studies should evaluate the psychometric properties of this instrument in African populations.</w:t>
            </w:r>
            <w:r>
              <w:rPr>
                <w:rFonts w:hint="eastAsia" w:ascii="Arial" w:hAnsi="Arial" w:eastAsia="等线" w:cs="Arial"/>
                <w:i w:val="0"/>
                <w:iCs w:val="0"/>
                <w:color w:val="333333"/>
                <w:kern w:val="0"/>
                <w:sz w:val="20"/>
                <w:szCs w:val="20"/>
                <w:u w:val="none"/>
                <w:lang w:val="en-US" w:eastAsia="zh-CN" w:bidi="ar"/>
              </w:rPr>
              <w:t xml:space="preserve"> </w:t>
            </w:r>
            <w:r>
              <w:rPr>
                <w:rFonts w:hint="default" w:ascii="Arial" w:hAnsi="Arial" w:eastAsia="等线" w:cs="Arial"/>
                <w:i w:val="0"/>
                <w:iCs w:val="0"/>
                <w:color w:val="333333"/>
                <w:kern w:val="0"/>
                <w:sz w:val="20"/>
                <w:szCs w:val="20"/>
                <w:u w:val="none"/>
                <w:lang w:val="en-US" w:eastAsia="zh-CN" w:bidi="ar"/>
              </w:rPr>
              <w:t>Third, regarding statistical methods, the approaches employed were relatively simple. Future research could examine these relationships using mediation and moderation analyses, for instance, whether CPR awareness mediates the relationship between educational attainment and knowledge, or whether nationality moderates the effect of prior training on knowledge.</w:t>
            </w:r>
            <w:r>
              <w:rPr>
                <w:rFonts w:hint="eastAsia" w:ascii="Arial" w:hAnsi="Arial" w:eastAsia="等线" w:cs="Arial"/>
                <w:i w:val="0"/>
                <w:iCs w:val="0"/>
                <w:color w:val="333333"/>
                <w:kern w:val="0"/>
                <w:sz w:val="20"/>
                <w:szCs w:val="20"/>
                <w:u w:val="none"/>
                <w:lang w:val="en-US" w:eastAsia="zh-CN" w:bidi="ar"/>
              </w:rPr>
              <w:t xml:space="preserve"> </w:t>
            </w:r>
            <w:r>
              <w:rPr>
                <w:rFonts w:hint="default" w:ascii="Arial" w:hAnsi="Arial" w:eastAsia="等线" w:cs="Arial"/>
                <w:i w:val="0"/>
                <w:iCs w:val="0"/>
                <w:color w:val="333333"/>
                <w:kern w:val="0"/>
                <w:sz w:val="20"/>
                <w:szCs w:val="20"/>
                <w:u w:val="none"/>
                <w:lang w:val="en-US" w:eastAsia="zh-CN" w:bidi="ar"/>
              </w:rPr>
              <w:t>Finally, concerning the interpretation of findings, cross-cultural differences may have affected cross-national comparability. Notably, nationality is a multifaceted construct, and the mechanisms underlying national-level differences warrant further investigation. In addition, unmeasured confounders—including health literacy, prior emergency response experience, and community AED availability—limit the explanatory scope of the analysis.</w:t>
            </w:r>
          </w:p>
        </w:tc>
      </w:tr>
      <w:bookmarkEnd w:id="86"/>
      <w:bookmarkEnd w:id="87"/>
      <w:tr w14:paraId="2F854CB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2ED19648">
            <w:pPr>
              <w:tabs>
                <w:tab w:val="left" w:pos="5400"/>
              </w:tabs>
              <w:rPr>
                <w:bCs/>
                <w:sz w:val="20"/>
              </w:rPr>
            </w:pPr>
            <w:bookmarkStart w:id="88" w:name="italic47" w:colFirst="0" w:colLast="0"/>
            <w:bookmarkStart w:id="89" w:name="bold48" w:colFirst="0" w:colLast="0"/>
            <w:r>
              <w:rPr>
                <w:bCs/>
                <w:sz w:val="20"/>
              </w:rPr>
              <w:t>Interpretation</w:t>
            </w:r>
          </w:p>
        </w:tc>
        <w:tc>
          <w:tcPr>
            <w:tcW w:w="705" w:type="dxa"/>
          </w:tcPr>
          <w:p w14:paraId="3D8153B7">
            <w:pPr>
              <w:tabs>
                <w:tab w:val="left" w:pos="5400"/>
              </w:tabs>
              <w:jc w:val="center"/>
              <w:rPr>
                <w:sz w:val="20"/>
              </w:rPr>
            </w:pPr>
            <w:r>
              <w:rPr>
                <w:sz w:val="20"/>
              </w:rPr>
              <w:t>20</w:t>
            </w:r>
          </w:p>
        </w:tc>
        <w:tc>
          <w:tcPr>
            <w:tcW w:w="1815" w:type="dxa"/>
          </w:tcPr>
          <w:p w14:paraId="3BEF621E">
            <w:pPr>
              <w:tabs>
                <w:tab w:val="left" w:pos="5400"/>
              </w:tabs>
              <w:rPr>
                <w:sz w:val="20"/>
                <w:highlight w:val="none"/>
              </w:rPr>
            </w:pPr>
            <w:r>
              <w:rPr>
                <w:sz w:val="20"/>
                <w:highlight w:val="none"/>
              </w:rPr>
              <w:t>Give a cautious overall interpretation of results considering objectives, limitations, multiplicity of analyses, results from similar studies, and other relevant evidence</w:t>
            </w:r>
          </w:p>
        </w:tc>
        <w:tc>
          <w:tcPr>
            <w:tcW w:w="855" w:type="dxa"/>
            <w:vAlign w:val="center"/>
          </w:tcPr>
          <w:p w14:paraId="144E0804">
            <w:pPr>
              <w:keepNext w:val="0"/>
              <w:keepLines w:val="0"/>
              <w:widowControl/>
              <w:suppressLineNumbers w:val="0"/>
              <w:jc w:val="center"/>
              <w:textAlignment w:val="center"/>
              <w:rPr>
                <w:rFonts w:hint="default"/>
                <w:sz w:val="20"/>
                <w:highlight w:val="none"/>
                <w:lang w:val="en-US"/>
              </w:rPr>
            </w:pPr>
            <w:r>
              <w:rPr>
                <w:rFonts w:hint="eastAsia" w:ascii="Arial" w:hAnsi="Arial" w:eastAsia="等线" w:cs="Arial"/>
                <w:i w:val="0"/>
                <w:iCs w:val="0"/>
                <w:color w:val="333333"/>
                <w:kern w:val="0"/>
                <w:sz w:val="20"/>
                <w:szCs w:val="20"/>
                <w:highlight w:val="none"/>
                <w:u w:val="none"/>
                <w:lang w:val="en-US" w:eastAsia="zh-CN" w:bidi="ar"/>
              </w:rPr>
              <w:t>5,6,7</w:t>
            </w:r>
          </w:p>
        </w:tc>
        <w:tc>
          <w:tcPr>
            <w:tcW w:w="10421" w:type="dxa"/>
            <w:vAlign w:val="center"/>
          </w:tcPr>
          <w:p w14:paraId="031D7C09">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The findings of this study are consistent with previous single-country studies in Africa that have reported low levels of CPR knowledge and training among the general public. The low mean knowledge score of 1.68 out of 4 indicates that most community residents in the six countries have limited understanding of basic CPR principles, despite the critical role of bystander CPR in improving OHCA survival. The strong association between CPR awareness, prior training, and knowledge score highlights the importance of public CPR education programs in improving knowledge levels. The low rate of actual CPR practices</w:t>
            </w:r>
            <w:r>
              <w:rPr>
                <w:rFonts w:hint="eastAsia" w:ascii="Arial" w:hAnsi="Arial" w:eastAsia="等线" w:cs="Arial"/>
                <w:i w:val="0"/>
                <w:iCs w:val="0"/>
                <w:color w:val="333333"/>
                <w:kern w:val="0"/>
                <w:sz w:val="20"/>
                <w:szCs w:val="20"/>
                <w:u w:val="none"/>
                <w:lang w:val="en-US" w:eastAsia="zh-CN" w:bidi="ar"/>
              </w:rPr>
              <w:t xml:space="preserve"> intention</w:t>
            </w:r>
            <w:r>
              <w:rPr>
                <w:rFonts w:hint="default" w:ascii="Arial" w:hAnsi="Arial" w:eastAsia="等线" w:cs="Arial"/>
                <w:i w:val="0"/>
                <w:iCs w:val="0"/>
                <w:color w:val="333333"/>
                <w:kern w:val="0"/>
                <w:sz w:val="20"/>
                <w:szCs w:val="20"/>
                <w:u w:val="none"/>
                <w:lang w:val="en-US" w:eastAsia="zh-CN" w:bidi="ar"/>
              </w:rPr>
              <w:t>, despite relatively positive attitudes toward certain recipient groups, suggests that knowledge gaps and perceived barriers are significant obstacles to bystander CPR. The primary barriers of lack of skills and fear of disease transmission should be addressed in future education programs, which should be adapted to the local cultural and socioeconomic context of each country. Caution should be exercised in interpreting the results due to the study limitations, including the convenience sampling design and cross-sectional nature, which prevent causal inferences.</w:t>
            </w:r>
          </w:p>
        </w:tc>
      </w:tr>
      <w:bookmarkEnd w:id="88"/>
      <w:bookmarkEnd w:id="89"/>
      <w:tr w14:paraId="3B96165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0A7A2847">
            <w:pPr>
              <w:tabs>
                <w:tab w:val="left" w:pos="5400"/>
              </w:tabs>
              <w:rPr>
                <w:bCs/>
                <w:sz w:val="20"/>
              </w:rPr>
            </w:pPr>
            <w:bookmarkStart w:id="90" w:name="italic48" w:colFirst="0" w:colLast="0"/>
            <w:bookmarkStart w:id="91" w:name="bold49" w:colFirst="0" w:colLast="0"/>
            <w:r>
              <w:rPr>
                <w:bCs/>
                <w:sz w:val="20"/>
              </w:rPr>
              <w:t>Generalisability</w:t>
            </w:r>
          </w:p>
        </w:tc>
        <w:tc>
          <w:tcPr>
            <w:tcW w:w="705" w:type="dxa"/>
          </w:tcPr>
          <w:p w14:paraId="027B4143">
            <w:pPr>
              <w:tabs>
                <w:tab w:val="left" w:pos="5400"/>
              </w:tabs>
              <w:jc w:val="center"/>
              <w:rPr>
                <w:sz w:val="20"/>
              </w:rPr>
            </w:pPr>
            <w:r>
              <w:rPr>
                <w:sz w:val="20"/>
              </w:rPr>
              <w:t>21</w:t>
            </w:r>
          </w:p>
        </w:tc>
        <w:tc>
          <w:tcPr>
            <w:tcW w:w="1815" w:type="dxa"/>
          </w:tcPr>
          <w:p w14:paraId="3A1905A5">
            <w:pPr>
              <w:tabs>
                <w:tab w:val="left" w:pos="5400"/>
              </w:tabs>
              <w:rPr>
                <w:sz w:val="20"/>
                <w:highlight w:val="none"/>
              </w:rPr>
            </w:pPr>
            <w:r>
              <w:rPr>
                <w:sz w:val="20"/>
                <w:highlight w:val="none"/>
              </w:rPr>
              <w:t>Discuss the generalisability (external validity) of the study results</w:t>
            </w:r>
          </w:p>
        </w:tc>
        <w:tc>
          <w:tcPr>
            <w:tcW w:w="855" w:type="dxa"/>
            <w:vAlign w:val="center"/>
          </w:tcPr>
          <w:p w14:paraId="7BC1EA62">
            <w:pPr>
              <w:keepNext w:val="0"/>
              <w:keepLines w:val="0"/>
              <w:widowControl/>
              <w:suppressLineNumbers w:val="0"/>
              <w:jc w:val="center"/>
              <w:textAlignment w:val="center"/>
              <w:rPr>
                <w:sz w:val="20"/>
                <w:highlight w:val="none"/>
              </w:rPr>
            </w:pPr>
            <w:r>
              <w:rPr>
                <w:rFonts w:hint="eastAsia" w:ascii="Arial" w:hAnsi="Arial" w:eastAsia="等线" w:cs="Arial"/>
                <w:i w:val="0"/>
                <w:iCs w:val="0"/>
                <w:color w:val="333333"/>
                <w:kern w:val="0"/>
                <w:sz w:val="20"/>
                <w:szCs w:val="20"/>
                <w:highlight w:val="none"/>
                <w:u w:val="none"/>
                <w:lang w:val="en-US" w:eastAsia="zh-CN" w:bidi="ar"/>
              </w:rPr>
              <w:t>8</w:t>
            </w:r>
          </w:p>
        </w:tc>
        <w:tc>
          <w:tcPr>
            <w:tcW w:w="10421" w:type="dxa"/>
            <w:vAlign w:val="center"/>
          </w:tcPr>
          <w:p w14:paraId="59BAC913">
            <w:pPr>
              <w:keepNext w:val="0"/>
              <w:keepLines w:val="0"/>
              <w:widowControl/>
              <w:suppressLineNumbers w:val="0"/>
              <w:jc w:val="left"/>
              <w:textAlignment w:val="center"/>
              <w:rPr>
                <w:sz w:val="20"/>
              </w:rPr>
            </w:pPr>
            <w:r>
              <w:rPr>
                <w:rFonts w:hint="default" w:ascii="Arial" w:hAnsi="Arial" w:eastAsia="等线" w:cs="Arial"/>
                <w:i w:val="0"/>
                <w:iCs w:val="0"/>
                <w:color w:val="333333"/>
                <w:kern w:val="0"/>
                <w:sz w:val="20"/>
                <w:szCs w:val="20"/>
                <w:u w:val="none"/>
                <w:lang w:val="en-US" w:eastAsia="zh-CN" w:bidi="ar"/>
              </w:rPr>
              <w:t xml:space="preserve">The generalisability of the study results is limited by several factors. The study used convenience sampling from outpatient waiting areas of healthcare facilities in urban communities of six African countries, so the findings may not be representative of the general population of these countries, particularly rural residents, individuals who do not access healthcare facilities, and those in other African countries. The study included participants aged 13–80 years, so results may not be generalisable to individuals outside this age range. Additionally, the study was conducted in 2024, so the findings may not reflect changes in CPR knowledge, attitudes, and practices </w:t>
            </w:r>
            <w:r>
              <w:rPr>
                <w:rFonts w:hint="eastAsia" w:ascii="Arial" w:hAnsi="Arial" w:eastAsia="等线" w:cs="Arial"/>
                <w:i w:val="0"/>
                <w:iCs w:val="0"/>
                <w:color w:val="333333"/>
                <w:kern w:val="0"/>
                <w:sz w:val="20"/>
                <w:szCs w:val="20"/>
                <w:u w:val="none"/>
                <w:lang w:val="en-US" w:eastAsia="zh-CN" w:bidi="ar"/>
              </w:rPr>
              <w:t xml:space="preserve">intention </w:t>
            </w:r>
            <w:r>
              <w:rPr>
                <w:rFonts w:hint="default" w:ascii="Arial" w:hAnsi="Arial" w:eastAsia="等线" w:cs="Arial"/>
                <w:i w:val="0"/>
                <w:iCs w:val="0"/>
                <w:color w:val="333333"/>
                <w:kern w:val="0"/>
                <w:sz w:val="20"/>
                <w:szCs w:val="20"/>
                <w:u w:val="none"/>
                <w:lang w:val="en-US" w:eastAsia="zh-CN" w:bidi="ar"/>
              </w:rPr>
              <w:t>over time. However, the multi-national design of the study provides a broader understanding of CPR-related outcomes across sub-Saharan Africa compared to previous single-center studies, and the findings may be generalisable to other urban communities in resource-limited African settings with similar socioeconomic and healthcare characteristics.</w:t>
            </w:r>
          </w:p>
        </w:tc>
      </w:tr>
      <w:bookmarkEnd w:id="90"/>
      <w:bookmarkEnd w:id="91"/>
      <w:tr w14:paraId="2470FB9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01" w:type="dxa"/>
            <w:gridSpan w:val="2"/>
          </w:tcPr>
          <w:p w14:paraId="59836F1C">
            <w:pPr>
              <w:pStyle w:val="168"/>
              <w:tabs>
                <w:tab w:val="left" w:pos="5400"/>
              </w:tabs>
              <w:rPr>
                <w:sz w:val="20"/>
              </w:rPr>
            </w:pPr>
            <w:bookmarkStart w:id="92" w:name="italic49"/>
            <w:bookmarkStart w:id="93" w:name="bold50"/>
            <w:r>
              <w:rPr>
                <w:sz w:val="20"/>
              </w:rPr>
              <w:t>Other information</w:t>
            </w:r>
          </w:p>
          <w:bookmarkEnd w:id="92"/>
          <w:bookmarkEnd w:id="93"/>
        </w:tc>
        <w:tc>
          <w:tcPr>
            <w:tcW w:w="13091" w:type="dxa"/>
            <w:gridSpan w:val="3"/>
          </w:tcPr>
          <w:p w14:paraId="1905410F">
            <w:pPr>
              <w:pStyle w:val="168"/>
              <w:tabs>
                <w:tab w:val="left" w:pos="5400"/>
              </w:tabs>
              <w:rPr>
                <w:sz w:val="20"/>
                <w:highlight w:val="none"/>
              </w:rPr>
            </w:pPr>
          </w:p>
        </w:tc>
      </w:tr>
      <w:tr w14:paraId="49872C3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196" w:type="dxa"/>
          </w:tcPr>
          <w:p w14:paraId="72EA6BE6">
            <w:pPr>
              <w:tabs>
                <w:tab w:val="left" w:pos="5400"/>
              </w:tabs>
              <w:rPr>
                <w:bCs/>
                <w:sz w:val="20"/>
              </w:rPr>
            </w:pPr>
            <w:bookmarkStart w:id="94" w:name="italic50" w:colFirst="0" w:colLast="0"/>
            <w:bookmarkStart w:id="95" w:name="bold51" w:colFirst="0" w:colLast="0"/>
            <w:r>
              <w:rPr>
                <w:bCs/>
                <w:sz w:val="20"/>
              </w:rPr>
              <w:t>Funding</w:t>
            </w:r>
          </w:p>
        </w:tc>
        <w:tc>
          <w:tcPr>
            <w:tcW w:w="705" w:type="dxa"/>
          </w:tcPr>
          <w:p w14:paraId="7F3D21A1">
            <w:pPr>
              <w:tabs>
                <w:tab w:val="left" w:pos="5400"/>
              </w:tabs>
              <w:jc w:val="center"/>
              <w:rPr>
                <w:sz w:val="20"/>
              </w:rPr>
            </w:pPr>
            <w:r>
              <w:rPr>
                <w:sz w:val="20"/>
              </w:rPr>
              <w:t>22</w:t>
            </w:r>
          </w:p>
        </w:tc>
        <w:tc>
          <w:tcPr>
            <w:tcW w:w="1815" w:type="dxa"/>
          </w:tcPr>
          <w:p w14:paraId="5B142282">
            <w:pPr>
              <w:tabs>
                <w:tab w:val="left" w:pos="5400"/>
              </w:tabs>
              <w:rPr>
                <w:sz w:val="20"/>
                <w:highlight w:val="none"/>
              </w:rPr>
            </w:pPr>
            <w:r>
              <w:rPr>
                <w:sz w:val="20"/>
                <w:highlight w:val="none"/>
              </w:rPr>
              <w:t>Give the source of funding and the role of the funders for the present study and, if applicable, for the original study on which the present article is based</w:t>
            </w:r>
          </w:p>
        </w:tc>
        <w:tc>
          <w:tcPr>
            <w:tcW w:w="855" w:type="dxa"/>
          </w:tcPr>
          <w:p w14:paraId="49069946">
            <w:pPr>
              <w:keepNext w:val="0"/>
              <w:keepLines w:val="0"/>
              <w:widowControl/>
              <w:suppressLineNumbers w:val="0"/>
              <w:jc w:val="center"/>
              <w:textAlignment w:val="center"/>
              <w:rPr>
                <w:rFonts w:hint="default" w:eastAsia="宋体"/>
                <w:sz w:val="20"/>
                <w:highlight w:val="none"/>
                <w:lang w:val="en-US" w:eastAsia="zh-CN"/>
              </w:rPr>
            </w:pPr>
            <w:r>
              <w:rPr>
                <w:rFonts w:hint="eastAsia" w:ascii="Arial" w:hAnsi="Arial" w:eastAsia="等线" w:cs="Arial"/>
                <w:i w:val="0"/>
                <w:iCs w:val="0"/>
                <w:color w:val="333333"/>
                <w:kern w:val="0"/>
                <w:sz w:val="20"/>
                <w:szCs w:val="20"/>
                <w:highlight w:val="none"/>
                <w:u w:val="none"/>
                <w:lang w:val="en-US" w:eastAsia="zh-CN" w:bidi="ar"/>
              </w:rPr>
              <w:t>9</w:t>
            </w:r>
          </w:p>
        </w:tc>
        <w:tc>
          <w:tcPr>
            <w:tcW w:w="10421" w:type="dxa"/>
          </w:tcPr>
          <w:p w14:paraId="08C3C678">
            <w:pPr>
              <w:keepNext w:val="0"/>
              <w:keepLines w:val="0"/>
              <w:widowControl/>
              <w:suppressLineNumbers w:val="0"/>
              <w:jc w:val="left"/>
              <w:textAlignment w:val="center"/>
              <w:rPr>
                <w:rFonts w:hint="default" w:ascii="Arial" w:hAnsi="Arial" w:eastAsia="等线" w:cs="Arial"/>
                <w:i w:val="0"/>
                <w:iCs w:val="0"/>
                <w:color w:val="333333"/>
                <w:kern w:val="0"/>
                <w:sz w:val="20"/>
                <w:szCs w:val="20"/>
                <w:u w:val="none"/>
                <w:lang w:val="en-US" w:eastAsia="zh-CN" w:bidi="ar"/>
              </w:rPr>
            </w:pPr>
            <w:r>
              <w:rPr>
                <w:rFonts w:hint="default" w:ascii="Arial" w:hAnsi="Arial" w:eastAsia="等线" w:cs="Arial"/>
                <w:i w:val="0"/>
                <w:iCs w:val="0"/>
                <w:color w:val="333333"/>
                <w:kern w:val="0"/>
                <w:sz w:val="20"/>
                <w:szCs w:val="20"/>
                <w:u w:val="none"/>
                <w:lang w:val="en-US" w:eastAsia="zh-CN" w:bidi="ar"/>
              </w:rPr>
              <w:t>This study was funded by the National Natural Science Foundation of China (No.</w:t>
            </w:r>
            <w:r>
              <w:rPr>
                <w:rFonts w:hint="eastAsia" w:ascii="Arial" w:hAnsi="Arial" w:eastAsia="等线" w:cs="Arial"/>
                <w:i w:val="0"/>
                <w:iCs w:val="0"/>
                <w:color w:val="333333"/>
                <w:kern w:val="0"/>
                <w:sz w:val="20"/>
                <w:szCs w:val="20"/>
                <w:u w:val="none"/>
                <w:lang w:val="en-US" w:eastAsia="zh-CN" w:bidi="ar"/>
              </w:rPr>
              <w:t xml:space="preserve"> </w:t>
            </w:r>
            <w:r>
              <w:rPr>
                <w:rFonts w:hint="default" w:ascii="Arial" w:hAnsi="Arial" w:eastAsia="等线" w:cs="Arial"/>
                <w:i w:val="0"/>
                <w:iCs w:val="0"/>
                <w:color w:val="333333"/>
                <w:kern w:val="0"/>
                <w:sz w:val="20"/>
                <w:szCs w:val="20"/>
                <w:u w:val="none"/>
                <w:lang w:val="en-US" w:eastAsia="zh-CN" w:bidi="ar"/>
              </w:rPr>
              <w:t>72104244)</w:t>
            </w:r>
            <w:r>
              <w:rPr>
                <w:rFonts w:hint="eastAsia" w:ascii="Arial" w:hAnsi="Arial" w:eastAsia="等线" w:cs="Arial"/>
                <w:i w:val="0"/>
                <w:iCs w:val="0"/>
                <w:color w:val="333333"/>
                <w:kern w:val="0"/>
                <w:sz w:val="20"/>
                <w:szCs w:val="20"/>
                <w:u w:val="none"/>
                <w:lang w:val="en-US" w:eastAsia="zh-CN" w:bidi="ar"/>
              </w:rPr>
              <w:t>.</w:t>
            </w:r>
            <w:r>
              <w:rPr>
                <w:rFonts w:hint="default" w:ascii="Arial" w:hAnsi="Arial" w:eastAsia="等线" w:cs="Arial"/>
                <w:i w:val="0"/>
                <w:iCs w:val="0"/>
                <w:color w:val="333333"/>
                <w:kern w:val="0"/>
                <w:sz w:val="20"/>
                <w:szCs w:val="20"/>
                <w:u w:val="none"/>
                <w:lang w:val="en-US" w:eastAsia="zh-CN" w:bidi="ar"/>
              </w:rPr>
              <w:t xml:space="preserve"> </w:t>
            </w:r>
            <w:r>
              <w:rPr>
                <w:rFonts w:hint="eastAsia" w:ascii="Arial" w:hAnsi="Arial" w:eastAsia="等线" w:cs="Arial"/>
                <w:i w:val="0"/>
                <w:iCs w:val="0"/>
                <w:color w:val="333333"/>
                <w:kern w:val="0"/>
                <w:sz w:val="20"/>
                <w:szCs w:val="20"/>
                <w:u w:val="none"/>
                <w:lang w:val="en-US" w:eastAsia="zh-CN" w:bidi="ar"/>
              </w:rPr>
              <w:t>This</w:t>
            </w:r>
            <w:r>
              <w:rPr>
                <w:rFonts w:hint="default" w:ascii="Arial" w:hAnsi="Arial" w:eastAsia="等线" w:cs="Arial"/>
                <w:i w:val="0"/>
                <w:iCs w:val="0"/>
                <w:color w:val="333333"/>
                <w:kern w:val="0"/>
                <w:sz w:val="20"/>
                <w:szCs w:val="20"/>
                <w:u w:val="none"/>
                <w:lang w:val="en-US" w:eastAsia="zh-CN" w:bidi="ar"/>
              </w:rPr>
              <w:t xml:space="preserve"> funding source</w:t>
            </w:r>
            <w:r>
              <w:rPr>
                <w:rFonts w:hint="eastAsia" w:ascii="Arial" w:hAnsi="Arial" w:eastAsia="等线" w:cs="Arial"/>
                <w:i w:val="0"/>
                <w:iCs w:val="0"/>
                <w:color w:val="333333"/>
                <w:kern w:val="0"/>
                <w:sz w:val="20"/>
                <w:szCs w:val="20"/>
                <w:u w:val="none"/>
                <w:lang w:val="en-US" w:eastAsia="zh-CN" w:bidi="ar"/>
              </w:rPr>
              <w:t xml:space="preserve"> </w:t>
            </w:r>
            <w:r>
              <w:rPr>
                <w:rFonts w:hint="default" w:ascii="Arial" w:hAnsi="Arial" w:eastAsia="等线" w:cs="Arial"/>
                <w:i w:val="0"/>
                <w:iCs w:val="0"/>
                <w:color w:val="333333"/>
                <w:kern w:val="0"/>
                <w:sz w:val="20"/>
                <w:szCs w:val="20"/>
                <w:u w:val="none"/>
                <w:lang w:val="en-US" w:eastAsia="zh-CN" w:bidi="ar"/>
              </w:rPr>
              <w:t>had</w:t>
            </w:r>
            <w:r>
              <w:rPr>
                <w:rFonts w:hint="eastAsia" w:ascii="Arial" w:hAnsi="Arial" w:eastAsia="等线" w:cs="Arial"/>
                <w:i w:val="0"/>
                <w:iCs w:val="0"/>
                <w:color w:val="333333"/>
                <w:kern w:val="0"/>
                <w:sz w:val="20"/>
                <w:szCs w:val="20"/>
                <w:u w:val="none"/>
                <w:lang w:val="en-US" w:eastAsia="zh-CN" w:bidi="ar"/>
              </w:rPr>
              <w:t xml:space="preserve"> no</w:t>
            </w:r>
            <w:r>
              <w:rPr>
                <w:rFonts w:hint="default" w:ascii="Arial" w:hAnsi="Arial" w:eastAsia="等线" w:cs="Arial"/>
                <w:i w:val="0"/>
                <w:iCs w:val="0"/>
                <w:color w:val="333333"/>
                <w:kern w:val="0"/>
                <w:sz w:val="20"/>
                <w:szCs w:val="20"/>
                <w:u w:val="none"/>
                <w:lang w:val="en-US" w:eastAsia="zh-CN" w:bidi="ar"/>
              </w:rPr>
              <w:t xml:space="preserve"> influence on the present study.</w:t>
            </w:r>
          </w:p>
          <w:p w14:paraId="6F456CD5">
            <w:pPr>
              <w:tabs>
                <w:tab w:val="left" w:pos="5400"/>
              </w:tabs>
              <w:rPr>
                <w:sz w:val="20"/>
              </w:rPr>
            </w:pPr>
          </w:p>
        </w:tc>
      </w:tr>
      <w:bookmarkEnd w:id="94"/>
      <w:bookmarkEnd w:id="95"/>
    </w:tbl>
    <w:p w14:paraId="52991B43">
      <w:pPr>
        <w:pStyle w:val="154"/>
        <w:tabs>
          <w:tab w:val="left" w:pos="5400"/>
        </w:tabs>
        <w:rPr>
          <w:bCs/>
          <w:sz w:val="20"/>
        </w:rPr>
      </w:pPr>
    </w:p>
    <w:p w14:paraId="1E533562">
      <w:pPr>
        <w:pStyle w:val="154"/>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14:paraId="202AA975">
      <w:pPr>
        <w:pStyle w:val="154"/>
        <w:tabs>
          <w:tab w:val="left" w:pos="5400"/>
        </w:tabs>
        <w:rPr>
          <w:sz w:val="20"/>
        </w:rPr>
      </w:pPr>
    </w:p>
    <w:p w14:paraId="1D897872">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6834" w:h="11909" w:orient="landscape"/>
      <w:pgMar w:top="1134" w:right="1134" w:bottom="1134" w:left="99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E4BF5">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3</w:t>
    </w:r>
    <w:r>
      <w:rPr>
        <w:rStyle w:val="78"/>
      </w:rPr>
      <w:fldChar w:fldCharType="end"/>
    </w:r>
  </w:p>
  <w:p w14:paraId="6DD16C6F">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A6DDC">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3A7C1B65">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 w:val="236C5189"/>
    <w:rsid w:val="24B70426"/>
    <w:rsid w:val="25510904"/>
    <w:rsid w:val="281318C7"/>
    <w:rsid w:val="333255AA"/>
    <w:rsid w:val="3D5B4A81"/>
    <w:rsid w:val="46DF3E0B"/>
    <w:rsid w:val="4F481443"/>
    <w:rsid w:val="52976ACB"/>
    <w:rsid w:val="55185BB5"/>
    <w:rsid w:val="5C5617A7"/>
    <w:rsid w:val="5D206CE2"/>
    <w:rsid w:val="602A238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qFormat="1" w:unhideWhenUsed="0" w:uiPriority="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qFormat/>
    <w:uiPriority w:val="1"/>
  </w:style>
  <w:style w:type="table" w:default="1" w:styleId="75">
    <w:name w:val="Normal Table"/>
    <w:semiHidden/>
    <w:unhideWhenUsed/>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qFormat/>
    <w:uiPriority w:val="0"/>
    <w:pPr>
      <w:ind w:left="849" w:hanging="283"/>
    </w:pPr>
  </w:style>
  <w:style w:type="paragraph" w:styleId="13">
    <w:name w:val="List Number 2"/>
    <w:basedOn w:val="1"/>
    <w:qFormat/>
    <w:uiPriority w:val="0"/>
    <w:pPr>
      <w:numPr>
        <w:ilvl w:val="0"/>
        <w:numId w:val="2"/>
      </w:numPr>
    </w:pPr>
  </w:style>
  <w:style w:type="paragraph" w:styleId="14">
    <w:name w:val="Note Heading"/>
    <w:basedOn w:val="1"/>
    <w:next w:val="1"/>
    <w:qFormat/>
    <w:uiPriority w:val="0"/>
  </w:style>
  <w:style w:type="paragraph" w:styleId="15">
    <w:name w:val="List Bullet 4"/>
    <w:basedOn w:val="1"/>
    <w:autoRedefine/>
    <w:qFormat/>
    <w:uiPriority w:val="0"/>
    <w:pPr>
      <w:numPr>
        <w:ilvl w:val="0"/>
        <w:numId w:val="3"/>
      </w:numPr>
    </w:pPr>
  </w:style>
  <w:style w:type="paragraph" w:styleId="16">
    <w:name w:val="index 8"/>
    <w:basedOn w:val="1"/>
    <w:next w:val="1"/>
    <w:autoRedefine/>
    <w:semiHidden/>
    <w:qFormat/>
    <w:uiPriority w:val="0"/>
    <w:pPr>
      <w:ind w:left="1920" w:hanging="240"/>
    </w:pPr>
  </w:style>
  <w:style w:type="paragraph" w:styleId="17">
    <w:name w:val="E-mail Signature"/>
    <w:basedOn w:val="1"/>
    <w:qFormat/>
    <w:uiPriority w:val="0"/>
  </w:style>
  <w:style w:type="paragraph" w:styleId="18">
    <w:name w:val="List Number"/>
    <w:basedOn w:val="1"/>
    <w:qFormat/>
    <w:uiPriority w:val="0"/>
    <w:pPr>
      <w:numPr>
        <w:ilvl w:val="0"/>
        <w:numId w:val="4"/>
      </w:numPr>
    </w:pPr>
  </w:style>
  <w:style w:type="paragraph" w:styleId="19">
    <w:name w:val="Normal Indent"/>
    <w:basedOn w:val="1"/>
    <w:qFormat/>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qFormat/>
    <w:uiPriority w:val="0"/>
    <w:pPr>
      <w:ind w:left="1200" w:hanging="240"/>
    </w:pPr>
  </w:style>
  <w:style w:type="paragraph" w:styleId="22">
    <w:name w:val="List Bullet"/>
    <w:basedOn w:val="1"/>
    <w:autoRedefine/>
    <w:qFormat/>
    <w:uiPriority w:val="0"/>
    <w:pPr>
      <w:numPr>
        <w:ilvl w:val="0"/>
        <w:numId w:val="5"/>
      </w:numPr>
      <w:spacing w:line="240" w:lineRule="auto"/>
    </w:pPr>
  </w:style>
  <w:style w:type="paragraph" w:styleId="23">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qFormat/>
    <w:uiPriority w:val="0"/>
    <w:pPr>
      <w:shd w:val="clear" w:color="auto" w:fill="000080"/>
    </w:pPr>
    <w:rPr>
      <w:rFonts w:ascii="Tahoma" w:hAnsi="Tahoma" w:cs="Tahoma"/>
    </w:rPr>
  </w:style>
  <w:style w:type="paragraph" w:styleId="25">
    <w:name w:val="annotation text"/>
    <w:basedOn w:val="1"/>
    <w:semiHidden/>
    <w:qFormat/>
    <w:uiPriority w:val="0"/>
    <w:pPr>
      <w:spacing w:line="240" w:lineRule="auto"/>
    </w:pPr>
    <w:rPr>
      <w:sz w:val="20"/>
    </w:rPr>
  </w:style>
  <w:style w:type="paragraph" w:styleId="26">
    <w:name w:val="index 6"/>
    <w:basedOn w:val="1"/>
    <w:next w:val="1"/>
    <w:autoRedefine/>
    <w:semiHidden/>
    <w:qFormat/>
    <w:uiPriority w:val="0"/>
    <w:pPr>
      <w:ind w:left="1440" w:hanging="240"/>
    </w:pPr>
  </w:style>
  <w:style w:type="paragraph" w:styleId="27">
    <w:name w:val="Salutation"/>
    <w:basedOn w:val="1"/>
    <w:next w:val="1"/>
    <w:qFormat/>
    <w:uiPriority w:val="0"/>
  </w:style>
  <w:style w:type="paragraph" w:styleId="28">
    <w:name w:val="Body Text 3"/>
    <w:basedOn w:val="1"/>
    <w:qFormat/>
    <w:uiPriority w:val="0"/>
    <w:pPr>
      <w:spacing w:after="120"/>
    </w:pPr>
    <w:rPr>
      <w:sz w:val="16"/>
      <w:szCs w:val="16"/>
    </w:rPr>
  </w:style>
  <w:style w:type="paragraph" w:styleId="29">
    <w:name w:val="Closing"/>
    <w:basedOn w:val="1"/>
    <w:qFormat/>
    <w:uiPriority w:val="0"/>
    <w:pPr>
      <w:ind w:left="4252"/>
    </w:pPr>
  </w:style>
  <w:style w:type="paragraph" w:styleId="30">
    <w:name w:val="List Bullet 3"/>
    <w:basedOn w:val="1"/>
    <w:autoRedefine/>
    <w:qFormat/>
    <w:uiPriority w:val="0"/>
    <w:pPr>
      <w:numPr>
        <w:ilvl w:val="0"/>
        <w:numId w:val="6"/>
      </w:numPr>
    </w:pPr>
  </w:style>
  <w:style w:type="paragraph" w:styleId="31">
    <w:name w:val="Body Text"/>
    <w:basedOn w:val="1"/>
    <w:qFormat/>
    <w:uiPriority w:val="0"/>
    <w:pPr>
      <w:spacing w:after="120"/>
    </w:pPr>
  </w:style>
  <w:style w:type="paragraph" w:styleId="32">
    <w:name w:val="Body Text Indent"/>
    <w:basedOn w:val="1"/>
    <w:qFormat/>
    <w:uiPriority w:val="0"/>
    <w:pPr>
      <w:spacing w:after="120"/>
      <w:ind w:left="283"/>
    </w:pPr>
  </w:style>
  <w:style w:type="paragraph" w:styleId="33">
    <w:name w:val="List Number 3"/>
    <w:basedOn w:val="1"/>
    <w:qFormat/>
    <w:uiPriority w:val="0"/>
    <w:pPr>
      <w:numPr>
        <w:ilvl w:val="0"/>
        <w:numId w:val="7"/>
      </w:numPr>
    </w:pPr>
  </w:style>
  <w:style w:type="paragraph" w:styleId="34">
    <w:name w:val="List 2"/>
    <w:basedOn w:val="1"/>
    <w:qFormat/>
    <w:uiPriority w:val="0"/>
    <w:pPr>
      <w:ind w:left="566" w:hanging="283"/>
    </w:pPr>
  </w:style>
  <w:style w:type="paragraph" w:styleId="35">
    <w:name w:val="List Continue"/>
    <w:basedOn w:val="1"/>
    <w:qFormat/>
    <w:uiPriority w:val="0"/>
    <w:pPr>
      <w:spacing w:after="120"/>
      <w:ind w:left="283"/>
    </w:pPr>
  </w:style>
  <w:style w:type="paragraph" w:styleId="36">
    <w:name w:val="Block Text"/>
    <w:basedOn w:val="1"/>
    <w:qFormat/>
    <w:uiPriority w:val="0"/>
    <w:pPr>
      <w:spacing w:after="120"/>
      <w:ind w:left="1440" w:right="1440"/>
    </w:pPr>
  </w:style>
  <w:style w:type="paragraph" w:styleId="37">
    <w:name w:val="List Bullet 2"/>
    <w:basedOn w:val="1"/>
    <w:autoRedefine/>
    <w:qFormat/>
    <w:uiPriority w:val="0"/>
    <w:pPr>
      <w:numPr>
        <w:ilvl w:val="0"/>
        <w:numId w:val="8"/>
      </w:numPr>
    </w:pPr>
  </w:style>
  <w:style w:type="paragraph" w:styleId="38">
    <w:name w:val="HTML Address"/>
    <w:basedOn w:val="1"/>
    <w:qFormat/>
    <w:uiPriority w:val="0"/>
    <w:rPr>
      <w:i/>
      <w:iCs/>
    </w:rPr>
  </w:style>
  <w:style w:type="paragraph" w:styleId="39">
    <w:name w:val="index 4"/>
    <w:basedOn w:val="1"/>
    <w:next w:val="1"/>
    <w:autoRedefine/>
    <w:semiHidden/>
    <w:qFormat/>
    <w:uiPriority w:val="0"/>
    <w:pPr>
      <w:ind w:left="960" w:hanging="240"/>
    </w:pPr>
  </w:style>
  <w:style w:type="paragraph" w:styleId="40">
    <w:name w:val="Plain Text"/>
    <w:basedOn w:val="1"/>
    <w:qFormat/>
    <w:uiPriority w:val="0"/>
    <w:rPr>
      <w:rFonts w:ascii="Courier New" w:hAnsi="Courier New"/>
      <w:sz w:val="20"/>
    </w:rPr>
  </w:style>
  <w:style w:type="paragraph" w:styleId="41">
    <w:name w:val="List Bullet 5"/>
    <w:basedOn w:val="1"/>
    <w:autoRedefine/>
    <w:qFormat/>
    <w:uiPriority w:val="0"/>
    <w:pPr>
      <w:numPr>
        <w:ilvl w:val="0"/>
        <w:numId w:val="9"/>
      </w:numPr>
    </w:pPr>
  </w:style>
  <w:style w:type="paragraph" w:styleId="42">
    <w:name w:val="List Number 4"/>
    <w:basedOn w:val="1"/>
    <w:qFormat/>
    <w:uiPriority w:val="0"/>
    <w:pPr>
      <w:numPr>
        <w:ilvl w:val="0"/>
        <w:numId w:val="10"/>
      </w:numPr>
    </w:pPr>
  </w:style>
  <w:style w:type="paragraph" w:styleId="43">
    <w:name w:val="index 3"/>
    <w:basedOn w:val="1"/>
    <w:next w:val="1"/>
    <w:autoRedefine/>
    <w:semiHidden/>
    <w:qFormat/>
    <w:uiPriority w:val="0"/>
    <w:pPr>
      <w:ind w:left="720" w:hanging="240"/>
    </w:pPr>
  </w:style>
  <w:style w:type="paragraph" w:styleId="44">
    <w:name w:val="Date"/>
    <w:basedOn w:val="1"/>
    <w:next w:val="1"/>
    <w:qFormat/>
    <w:uiPriority w:val="0"/>
    <w:pPr>
      <w:spacing w:line="240" w:lineRule="auto"/>
    </w:pPr>
  </w:style>
  <w:style w:type="paragraph" w:styleId="45">
    <w:name w:val="Body Text Indent 2"/>
    <w:basedOn w:val="1"/>
    <w:qFormat/>
    <w:uiPriority w:val="0"/>
    <w:pPr>
      <w:spacing w:after="120" w:line="480" w:lineRule="auto"/>
      <w:ind w:left="283"/>
    </w:pPr>
  </w:style>
  <w:style w:type="paragraph" w:styleId="46">
    <w:name w:val="endnote text"/>
    <w:basedOn w:val="1"/>
    <w:semiHidden/>
    <w:qFormat/>
    <w:uiPriority w:val="0"/>
    <w:pPr>
      <w:spacing w:line="240" w:lineRule="auto"/>
    </w:pPr>
    <w:rPr>
      <w:sz w:val="20"/>
    </w:rPr>
  </w:style>
  <w:style w:type="paragraph" w:styleId="47">
    <w:name w:val="List Continue 5"/>
    <w:basedOn w:val="1"/>
    <w:qFormat/>
    <w:uiPriority w:val="0"/>
    <w:pPr>
      <w:spacing w:after="120"/>
      <w:ind w:left="1415"/>
    </w:pPr>
  </w:style>
  <w:style w:type="paragraph" w:styleId="48">
    <w:name w:val="Balloon Text"/>
    <w:basedOn w:val="1"/>
    <w:semiHidden/>
    <w:qFormat/>
    <w:uiPriority w:val="0"/>
    <w:rPr>
      <w:rFonts w:ascii="Tahoma" w:hAnsi="Tahoma" w:cs="Tahoma"/>
      <w:sz w:val="16"/>
      <w:szCs w:val="16"/>
    </w:rPr>
  </w:style>
  <w:style w:type="paragraph" w:styleId="49">
    <w:name w:val="footer"/>
    <w:basedOn w:val="1"/>
    <w:qFormat/>
    <w:uiPriority w:val="0"/>
    <w:pPr>
      <w:tabs>
        <w:tab w:val="center" w:pos="4153"/>
        <w:tab w:val="right" w:pos="8306"/>
      </w:tabs>
      <w:spacing w:line="240" w:lineRule="auto"/>
    </w:pPr>
    <w:rPr>
      <w:rFonts w:ascii="Arial" w:hAnsi="Arial"/>
      <w:sz w:val="20"/>
    </w:rPr>
  </w:style>
  <w:style w:type="paragraph" w:styleId="50">
    <w:name w:val="envelope return"/>
    <w:basedOn w:val="1"/>
    <w:qFormat/>
    <w:uiPriority w:val="0"/>
    <w:rPr>
      <w:rFonts w:ascii="Arial" w:hAnsi="Arial"/>
      <w:sz w:val="20"/>
    </w:rPr>
  </w:style>
  <w:style w:type="paragraph" w:styleId="51">
    <w:name w:val="header"/>
    <w:basedOn w:val="1"/>
    <w:qFormat/>
    <w:uiPriority w:val="0"/>
    <w:pPr>
      <w:tabs>
        <w:tab w:val="center" w:pos="4153"/>
        <w:tab w:val="right" w:pos="8306"/>
      </w:tabs>
      <w:spacing w:line="240" w:lineRule="auto"/>
    </w:pPr>
    <w:rPr>
      <w:sz w:val="18"/>
    </w:rPr>
  </w:style>
  <w:style w:type="paragraph" w:styleId="52">
    <w:name w:val="List Continue 4"/>
    <w:basedOn w:val="1"/>
    <w:qFormat/>
    <w:uiPriority w:val="0"/>
    <w:pPr>
      <w:spacing w:after="120"/>
      <w:ind w:left="1132"/>
    </w:pPr>
  </w:style>
  <w:style w:type="paragraph" w:styleId="53">
    <w:name w:val="index heading"/>
    <w:basedOn w:val="1"/>
    <w:next w:val="54"/>
    <w:semiHidden/>
    <w:qFormat/>
    <w:uiPriority w:val="0"/>
    <w:rPr>
      <w:rFonts w:ascii="Arial" w:hAnsi="Arial"/>
      <w:b/>
      <w:bCs/>
    </w:rPr>
  </w:style>
  <w:style w:type="paragraph" w:styleId="54">
    <w:name w:val="index 1"/>
    <w:basedOn w:val="1"/>
    <w:next w:val="1"/>
    <w:autoRedefine/>
    <w:semiHidden/>
    <w:qFormat/>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qFormat/>
    <w:uiPriority w:val="0"/>
    <w:pPr>
      <w:numPr>
        <w:ilvl w:val="0"/>
        <w:numId w:val="11"/>
      </w:numPr>
    </w:pPr>
  </w:style>
  <w:style w:type="paragraph" w:styleId="57">
    <w:name w:val="List"/>
    <w:basedOn w:val="1"/>
    <w:qFormat/>
    <w:uiPriority w:val="0"/>
    <w:pPr>
      <w:ind w:left="283" w:hanging="283"/>
    </w:pPr>
  </w:style>
  <w:style w:type="paragraph" w:styleId="58">
    <w:name w:val="footnote text"/>
    <w:basedOn w:val="1"/>
    <w:semiHidden/>
    <w:qFormat/>
    <w:uiPriority w:val="0"/>
    <w:pPr>
      <w:spacing w:line="240" w:lineRule="auto"/>
    </w:pPr>
    <w:rPr>
      <w:sz w:val="20"/>
    </w:rPr>
  </w:style>
  <w:style w:type="paragraph" w:styleId="59">
    <w:name w:val="List 5"/>
    <w:basedOn w:val="1"/>
    <w:qFormat/>
    <w:uiPriority w:val="0"/>
    <w:pPr>
      <w:ind w:left="1415" w:hanging="283"/>
    </w:pPr>
  </w:style>
  <w:style w:type="paragraph" w:styleId="60">
    <w:name w:val="Body Text Indent 3"/>
    <w:basedOn w:val="1"/>
    <w:qFormat/>
    <w:uiPriority w:val="0"/>
    <w:pPr>
      <w:spacing w:after="120"/>
      <w:ind w:left="283"/>
    </w:pPr>
    <w:rPr>
      <w:sz w:val="16"/>
      <w:szCs w:val="16"/>
    </w:rPr>
  </w:style>
  <w:style w:type="paragraph" w:styleId="61">
    <w:name w:val="index 7"/>
    <w:basedOn w:val="1"/>
    <w:next w:val="1"/>
    <w:autoRedefine/>
    <w:semiHidden/>
    <w:qFormat/>
    <w:uiPriority w:val="0"/>
    <w:pPr>
      <w:ind w:left="1680" w:hanging="240"/>
    </w:pPr>
  </w:style>
  <w:style w:type="paragraph" w:styleId="62">
    <w:name w:val="index 9"/>
    <w:basedOn w:val="1"/>
    <w:next w:val="1"/>
    <w:autoRedefine/>
    <w:semiHidden/>
    <w:qFormat/>
    <w:uiPriority w:val="0"/>
    <w:pPr>
      <w:ind w:left="2160" w:hanging="240"/>
    </w:pPr>
  </w:style>
  <w:style w:type="paragraph" w:styleId="63">
    <w:name w:val="Body Text 2"/>
    <w:basedOn w:val="1"/>
    <w:qFormat/>
    <w:uiPriority w:val="0"/>
    <w:pPr>
      <w:spacing w:after="120" w:line="480" w:lineRule="auto"/>
    </w:pPr>
  </w:style>
  <w:style w:type="paragraph" w:styleId="64">
    <w:name w:val="List 4"/>
    <w:basedOn w:val="1"/>
    <w:qFormat/>
    <w:uiPriority w:val="0"/>
    <w:pPr>
      <w:ind w:left="1132" w:hanging="283"/>
    </w:pPr>
  </w:style>
  <w:style w:type="paragraph" w:styleId="65">
    <w:name w:val="List Continue 2"/>
    <w:basedOn w:val="1"/>
    <w:qFormat/>
    <w:uiPriority w:val="0"/>
    <w:pPr>
      <w:spacing w:after="120"/>
      <w:ind w:left="566"/>
    </w:pPr>
  </w:style>
  <w:style w:type="paragraph" w:styleId="66">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qFormat/>
    <w:uiPriority w:val="0"/>
    <w:rPr>
      <w:rFonts w:ascii="Courier New" w:hAnsi="Courier New"/>
      <w:sz w:val="20"/>
    </w:rPr>
  </w:style>
  <w:style w:type="paragraph" w:styleId="68">
    <w:name w:val="Normal (Web)"/>
    <w:basedOn w:val="1"/>
    <w:qFormat/>
    <w:uiPriority w:val="0"/>
    <w:rPr>
      <w:szCs w:val="24"/>
    </w:rPr>
  </w:style>
  <w:style w:type="paragraph" w:styleId="69">
    <w:name w:val="List Continue 3"/>
    <w:basedOn w:val="1"/>
    <w:qFormat/>
    <w:uiPriority w:val="0"/>
    <w:pPr>
      <w:spacing w:after="120"/>
      <w:ind w:left="849"/>
    </w:pPr>
  </w:style>
  <w:style w:type="paragraph" w:styleId="70">
    <w:name w:val="index 2"/>
    <w:basedOn w:val="1"/>
    <w:next w:val="1"/>
    <w:autoRedefine/>
    <w:semiHidden/>
    <w:qFormat/>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qFormat/>
    <w:uiPriority w:val="0"/>
    <w:pPr>
      <w:spacing w:line="300" w:lineRule="exact"/>
    </w:pPr>
    <w:rPr>
      <w:b/>
      <w:bCs/>
    </w:rPr>
  </w:style>
  <w:style w:type="paragraph" w:styleId="73">
    <w:name w:val="Body Text First Indent"/>
    <w:basedOn w:val="31"/>
    <w:qFormat/>
    <w:uiPriority w:val="0"/>
    <w:pPr>
      <w:ind w:firstLine="210"/>
    </w:pPr>
  </w:style>
  <w:style w:type="paragraph" w:styleId="74">
    <w:name w:val="Body Text First Indent 2"/>
    <w:basedOn w:val="32"/>
    <w:qFormat/>
    <w:uiPriority w:val="0"/>
    <w:pPr>
      <w:ind w:firstLine="210"/>
    </w:pPr>
  </w:style>
  <w:style w:type="character" w:styleId="77">
    <w:name w:val="endnote reference"/>
    <w:basedOn w:val="76"/>
    <w:semiHidden/>
    <w:qFormat/>
    <w:uiPriority w:val="0"/>
    <w:rPr>
      <w:vertAlign w:val="superscript"/>
    </w:rPr>
  </w:style>
  <w:style w:type="character" w:styleId="78">
    <w:name w:val="page number"/>
    <w:basedOn w:val="76"/>
    <w:qFormat/>
    <w:uiPriority w:val="0"/>
  </w:style>
  <w:style w:type="character" w:styleId="79">
    <w:name w:val="FollowedHyperlink"/>
    <w:basedOn w:val="76"/>
    <w:qFormat/>
    <w:uiPriority w:val="0"/>
    <w:rPr>
      <w:color w:val="800080"/>
      <w:u w:val="single"/>
    </w:rPr>
  </w:style>
  <w:style w:type="character" w:styleId="80">
    <w:name w:val="Emphasis"/>
    <w:basedOn w:val="76"/>
    <w:qFormat/>
    <w:uiPriority w:val="0"/>
    <w:rPr>
      <w:i/>
      <w:iCs/>
    </w:rPr>
  </w:style>
  <w:style w:type="character" w:styleId="81">
    <w:name w:val="line number"/>
    <w:basedOn w:val="76"/>
    <w:qFormat/>
    <w:uiPriority w:val="0"/>
  </w:style>
  <w:style w:type="character" w:styleId="82">
    <w:name w:val="HTML Definition"/>
    <w:basedOn w:val="76"/>
    <w:qFormat/>
    <w:uiPriority w:val="0"/>
    <w:rPr>
      <w:i/>
      <w:iCs/>
    </w:rPr>
  </w:style>
  <w:style w:type="character" w:styleId="83">
    <w:name w:val="HTML Typewriter"/>
    <w:basedOn w:val="76"/>
    <w:qFormat/>
    <w:uiPriority w:val="0"/>
    <w:rPr>
      <w:rFonts w:ascii="Courier New" w:hAnsi="Courier New"/>
      <w:sz w:val="20"/>
      <w:szCs w:val="20"/>
    </w:rPr>
  </w:style>
  <w:style w:type="character" w:styleId="84">
    <w:name w:val="HTML Acronym"/>
    <w:basedOn w:val="76"/>
    <w:qFormat/>
    <w:uiPriority w:val="0"/>
  </w:style>
  <w:style w:type="character" w:styleId="85">
    <w:name w:val="HTML Variable"/>
    <w:basedOn w:val="76"/>
    <w:qFormat/>
    <w:uiPriority w:val="0"/>
    <w:rPr>
      <w:i/>
      <w:iCs/>
    </w:rPr>
  </w:style>
  <w:style w:type="character" w:styleId="86">
    <w:name w:val="Hyperlink"/>
    <w:basedOn w:val="76"/>
    <w:qFormat/>
    <w:uiPriority w:val="0"/>
    <w:rPr>
      <w:color w:val="0000FF"/>
      <w:u w:val="single"/>
    </w:rPr>
  </w:style>
  <w:style w:type="character" w:styleId="87">
    <w:name w:val="HTML Code"/>
    <w:basedOn w:val="76"/>
    <w:qFormat/>
    <w:uiPriority w:val="0"/>
    <w:rPr>
      <w:rFonts w:ascii="Courier New" w:hAnsi="Courier New"/>
      <w:sz w:val="20"/>
      <w:szCs w:val="20"/>
    </w:rPr>
  </w:style>
  <w:style w:type="character" w:styleId="88">
    <w:name w:val="annotation reference"/>
    <w:basedOn w:val="76"/>
    <w:semiHidden/>
    <w:qFormat/>
    <w:uiPriority w:val="0"/>
    <w:rPr>
      <w:sz w:val="16"/>
    </w:rPr>
  </w:style>
  <w:style w:type="character" w:styleId="89">
    <w:name w:val="HTML Cite"/>
    <w:basedOn w:val="76"/>
    <w:qFormat/>
    <w:uiPriority w:val="0"/>
    <w:rPr>
      <w:i/>
      <w:iCs/>
    </w:rPr>
  </w:style>
  <w:style w:type="character" w:styleId="90">
    <w:name w:val="footnote reference"/>
    <w:basedOn w:val="76"/>
    <w:semiHidden/>
    <w:qFormat/>
    <w:uiPriority w:val="0"/>
    <w:rPr>
      <w:vertAlign w:val="superscript"/>
    </w:rPr>
  </w:style>
  <w:style w:type="character" w:styleId="91">
    <w:name w:val="HTML Keyboard"/>
    <w:basedOn w:val="76"/>
    <w:qFormat/>
    <w:uiPriority w:val="0"/>
    <w:rPr>
      <w:rFonts w:ascii="Courier New" w:hAnsi="Courier New"/>
      <w:sz w:val="20"/>
      <w:szCs w:val="20"/>
    </w:rPr>
  </w:style>
  <w:style w:type="character" w:styleId="92">
    <w:name w:val="HTML Sample"/>
    <w:basedOn w:val="76"/>
    <w:qFormat/>
    <w:uiPriority w:val="0"/>
    <w:rPr>
      <w:rFonts w:ascii="Courier New" w:hAnsi="Courier New"/>
    </w:rPr>
  </w:style>
  <w:style w:type="paragraph" w:customStyle="1" w:styleId="93">
    <w:name w:val="AmendmentNote"/>
    <w:basedOn w:val="94"/>
    <w:qFormat/>
    <w:uiPriority w:val="0"/>
  </w:style>
  <w:style w:type="paragraph" w:customStyle="1" w:styleId="94">
    <w:name w:val="MoreInfo"/>
    <w:basedOn w:val="1"/>
    <w:qFormat/>
    <w:uiPriority w:val="0"/>
    <w:pPr>
      <w:spacing w:before="120" w:line="240" w:lineRule="auto"/>
    </w:pPr>
  </w:style>
  <w:style w:type="paragraph" w:customStyle="1" w:styleId="95">
    <w:name w:val="Abbreviations"/>
    <w:basedOn w:val="1"/>
    <w:qFormat/>
    <w:uiPriority w:val="0"/>
    <w:pPr>
      <w:spacing w:line="240" w:lineRule="auto"/>
    </w:pPr>
  </w:style>
  <w:style w:type="paragraph" w:customStyle="1" w:styleId="96">
    <w:name w:val="AbstractPara"/>
    <w:basedOn w:val="1"/>
    <w:qFormat/>
    <w:uiPriority w:val="0"/>
    <w:pPr>
      <w:spacing w:line="240" w:lineRule="auto"/>
    </w:pPr>
  </w:style>
  <w:style w:type="paragraph" w:customStyle="1" w:styleId="97">
    <w:name w:val="AbstractTitle"/>
    <w:basedOn w:val="1"/>
    <w:next w:val="96"/>
    <w:qFormat/>
    <w:uiPriority w:val="0"/>
    <w:pPr>
      <w:spacing w:before="120" w:line="240" w:lineRule="exact"/>
      <w:outlineLvl w:val="1"/>
    </w:pPr>
    <w:rPr>
      <w:b/>
      <w:sz w:val="26"/>
    </w:rPr>
  </w:style>
  <w:style w:type="paragraph" w:customStyle="1" w:styleId="98">
    <w:name w:val="Accepted"/>
    <w:basedOn w:val="1"/>
    <w:qFormat/>
    <w:uiPriority w:val="0"/>
    <w:pPr>
      <w:spacing w:before="120" w:line="240" w:lineRule="exact"/>
    </w:pPr>
  </w:style>
  <w:style w:type="paragraph" w:customStyle="1" w:styleId="99">
    <w:name w:val="Acknowledge"/>
    <w:basedOn w:val="1"/>
    <w:qFormat/>
    <w:uiPriority w:val="0"/>
    <w:pPr>
      <w:spacing w:line="240" w:lineRule="auto"/>
    </w:pPr>
  </w:style>
  <w:style w:type="paragraph" w:customStyle="1" w:styleId="100">
    <w:name w:val="Address"/>
    <w:basedOn w:val="1"/>
    <w:qFormat/>
    <w:uiPriority w:val="0"/>
    <w:pPr>
      <w:spacing w:before="80" w:line="240" w:lineRule="auto"/>
    </w:pPr>
    <w:rPr>
      <w:b/>
    </w:rPr>
  </w:style>
  <w:style w:type="paragraph" w:customStyle="1" w:styleId="101">
    <w:name w:val="Author"/>
    <w:basedOn w:val="1"/>
    <w:next w:val="1"/>
    <w:qFormat/>
    <w:uiPriority w:val="0"/>
    <w:pPr>
      <w:spacing w:before="80" w:line="240" w:lineRule="auto"/>
    </w:pPr>
  </w:style>
  <w:style w:type="paragraph" w:customStyle="1" w:styleId="102">
    <w:name w:val="AuthoredBy"/>
    <w:basedOn w:val="1"/>
    <w:qFormat/>
    <w:uiPriority w:val="0"/>
    <w:pPr>
      <w:spacing w:line="240" w:lineRule="auto"/>
    </w:pPr>
  </w:style>
  <w:style w:type="paragraph" w:customStyle="1" w:styleId="103">
    <w:name w:val="Banner"/>
    <w:basedOn w:val="1"/>
    <w:qFormat/>
    <w:uiPriority w:val="0"/>
    <w:pPr>
      <w:spacing w:before="120" w:line="280" w:lineRule="exact"/>
    </w:pPr>
    <w:rPr>
      <w:i/>
      <w:sz w:val="28"/>
    </w:rPr>
  </w:style>
  <w:style w:type="paragraph" w:customStyle="1" w:styleId="104">
    <w:name w:val="BoxEnd"/>
    <w:basedOn w:val="1"/>
    <w:qFormat/>
    <w:uiPriority w:val="0"/>
    <w:pPr>
      <w:pBdr>
        <w:bottom w:val="single" w:color="auto" w:sz="12" w:space="1"/>
        <w:right w:val="single" w:color="auto" w:sz="12" w:space="1"/>
      </w:pBdr>
      <w:spacing w:after="120" w:line="240" w:lineRule="auto"/>
    </w:pPr>
  </w:style>
  <w:style w:type="paragraph" w:customStyle="1" w:styleId="105">
    <w:name w:val="BoxStart1"/>
    <w:basedOn w:val="1"/>
    <w:qFormat/>
    <w:uiPriority w:val="0"/>
    <w:pPr>
      <w:pBdr>
        <w:top w:val="single" w:color="auto" w:sz="12" w:space="1"/>
        <w:left w:val="single" w:color="auto" w:sz="12" w:space="1"/>
      </w:pBdr>
      <w:spacing w:line="240" w:lineRule="auto"/>
    </w:pPr>
  </w:style>
  <w:style w:type="paragraph" w:customStyle="1" w:styleId="106">
    <w:name w:val="BoxStart2"/>
    <w:basedOn w:val="105"/>
    <w:qFormat/>
    <w:uiPriority w:val="0"/>
  </w:style>
  <w:style w:type="paragraph" w:customStyle="1" w:styleId="107">
    <w:name w:val="BoxStart3"/>
    <w:basedOn w:val="105"/>
    <w:qFormat/>
    <w:uiPriority w:val="0"/>
  </w:style>
  <w:style w:type="paragraph" w:customStyle="1" w:styleId="108">
    <w:name w:val="Conflict"/>
    <w:basedOn w:val="1"/>
    <w:qFormat/>
    <w:uiPriority w:val="0"/>
    <w:pPr>
      <w:spacing w:before="120" w:after="120" w:line="240" w:lineRule="auto"/>
    </w:pPr>
  </w:style>
  <w:style w:type="paragraph" w:customStyle="1" w:styleId="109">
    <w:name w:val="Correspdent"/>
    <w:basedOn w:val="1"/>
    <w:qFormat/>
    <w:uiPriority w:val="0"/>
    <w:pPr>
      <w:spacing w:line="240" w:lineRule="auto"/>
    </w:pPr>
  </w:style>
  <w:style w:type="paragraph" w:customStyle="1" w:styleId="110">
    <w:name w:val="Credit"/>
    <w:basedOn w:val="20"/>
    <w:qFormat/>
    <w:uiPriority w:val="0"/>
    <w:rPr>
      <w:sz w:val="18"/>
    </w:rPr>
  </w:style>
  <w:style w:type="paragraph" w:customStyle="1" w:styleId="111">
    <w:name w:val="Article"/>
    <w:basedOn w:val="1"/>
    <w:qFormat/>
    <w:uiPriority w:val="0"/>
    <w:pPr>
      <w:keepNext/>
      <w:suppressAutoHyphens/>
      <w:spacing w:before="120" w:after="60" w:line="240" w:lineRule="auto"/>
    </w:pPr>
    <w:rPr>
      <w:rFonts w:ascii="Arial" w:hAnsi="Arial"/>
      <w:b/>
      <w:sz w:val="18"/>
    </w:rPr>
  </w:style>
  <w:style w:type="paragraph" w:customStyle="1" w:styleId="112">
    <w:name w:val="Para"/>
    <w:basedOn w:val="1"/>
    <w:qFormat/>
    <w:uiPriority w:val="0"/>
    <w:pPr>
      <w:spacing w:line="360" w:lineRule="auto"/>
      <w:ind w:firstLine="288"/>
    </w:pPr>
  </w:style>
  <w:style w:type="paragraph" w:customStyle="1" w:styleId="113">
    <w:name w:val="EdFtNote"/>
    <w:basedOn w:val="112"/>
    <w:qFormat/>
    <w:uiPriority w:val="0"/>
    <w:pPr>
      <w:spacing w:before="60"/>
      <w:ind w:firstLine="0"/>
    </w:pPr>
  </w:style>
  <w:style w:type="paragraph" w:customStyle="1" w:styleId="114">
    <w:name w:val="IndentQuote"/>
    <w:basedOn w:val="1"/>
    <w:qFormat/>
    <w:uiPriority w:val="0"/>
    <w:pPr>
      <w:spacing w:before="60" w:line="240" w:lineRule="exact"/>
      <w:ind w:left="288" w:right="288"/>
    </w:pPr>
  </w:style>
  <w:style w:type="paragraph" w:customStyle="1" w:styleId="115">
    <w:name w:val="Epigraph"/>
    <w:basedOn w:val="114"/>
    <w:qFormat/>
    <w:uiPriority w:val="0"/>
  </w:style>
  <w:style w:type="paragraph" w:customStyle="1" w:styleId="116">
    <w:name w:val="Equation"/>
    <w:basedOn w:val="1"/>
    <w:qFormat/>
    <w:uiPriority w:val="0"/>
    <w:pPr>
      <w:spacing w:line="240" w:lineRule="auto"/>
    </w:pPr>
    <w:rPr>
      <w:b/>
      <w:i/>
    </w:rPr>
  </w:style>
  <w:style w:type="paragraph" w:customStyle="1" w:styleId="117">
    <w:name w:val="FigLeg"/>
    <w:basedOn w:val="1"/>
    <w:qFormat/>
    <w:uiPriority w:val="0"/>
    <w:pPr>
      <w:spacing w:line="240" w:lineRule="auto"/>
    </w:pPr>
  </w:style>
  <w:style w:type="paragraph" w:customStyle="1" w:styleId="118">
    <w:name w:val="Figure"/>
    <w:basedOn w:val="1"/>
    <w:qFormat/>
    <w:uiPriority w:val="0"/>
    <w:pPr>
      <w:numPr>
        <w:ilvl w:val="0"/>
        <w:numId w:val="12"/>
      </w:numPr>
      <w:tabs>
        <w:tab w:val="left" w:pos="720"/>
        <w:tab w:val="clear" w:pos="2160"/>
      </w:tabs>
      <w:ind w:left="0" w:firstLine="0"/>
    </w:pPr>
    <w:rPr>
      <w:b/>
    </w:rPr>
  </w:style>
  <w:style w:type="character" w:customStyle="1" w:styleId="119">
    <w:name w:val="FigureRef"/>
    <w:basedOn w:val="76"/>
    <w:qFormat/>
    <w:uiPriority w:val="0"/>
    <w:rPr>
      <w:color w:val="0000FF"/>
      <w:vertAlign w:val="superscript"/>
    </w:rPr>
  </w:style>
  <w:style w:type="character" w:customStyle="1" w:styleId="120">
    <w:name w:val="FnoteRef"/>
    <w:basedOn w:val="76"/>
    <w:qFormat/>
    <w:uiPriority w:val="0"/>
    <w:rPr>
      <w:color w:val="FF0000"/>
      <w:vertAlign w:val="superscript"/>
    </w:rPr>
  </w:style>
  <w:style w:type="paragraph" w:customStyle="1" w:styleId="121">
    <w:name w:val="Footnote"/>
    <w:basedOn w:val="1"/>
    <w:qFormat/>
    <w:uiPriority w:val="0"/>
    <w:pPr>
      <w:spacing w:line="240" w:lineRule="auto"/>
    </w:pPr>
  </w:style>
  <w:style w:type="paragraph" w:customStyle="1" w:styleId="122">
    <w:name w:val="Funding"/>
    <w:basedOn w:val="1"/>
    <w:qFormat/>
    <w:uiPriority w:val="0"/>
    <w:pPr>
      <w:spacing w:after="120" w:line="240" w:lineRule="auto"/>
    </w:pPr>
  </w:style>
  <w:style w:type="paragraph" w:customStyle="1" w:styleId="123">
    <w:name w:val="GroupTitle"/>
    <w:basedOn w:val="71"/>
    <w:next w:val="71"/>
    <w:qFormat/>
    <w:uiPriority w:val="0"/>
  </w:style>
  <w:style w:type="paragraph" w:customStyle="1" w:styleId="124">
    <w:name w:val="HeadA"/>
    <w:basedOn w:val="1"/>
    <w:qFormat/>
    <w:uiPriority w:val="0"/>
    <w:pPr>
      <w:keepNext/>
      <w:suppressAutoHyphens/>
      <w:spacing w:before="120" w:line="280" w:lineRule="exact"/>
      <w:outlineLvl w:val="1"/>
    </w:pPr>
    <w:rPr>
      <w:b/>
    </w:rPr>
  </w:style>
  <w:style w:type="paragraph" w:customStyle="1" w:styleId="125">
    <w:name w:val="HeadB"/>
    <w:basedOn w:val="1"/>
    <w:qFormat/>
    <w:uiPriority w:val="0"/>
    <w:pPr>
      <w:keepNext/>
      <w:suppressAutoHyphens/>
      <w:spacing w:before="60" w:line="280" w:lineRule="exact"/>
      <w:outlineLvl w:val="2"/>
    </w:pPr>
    <w:rPr>
      <w:b/>
      <w:sz w:val="20"/>
    </w:rPr>
  </w:style>
  <w:style w:type="paragraph" w:customStyle="1" w:styleId="126">
    <w:name w:val="HeadC"/>
    <w:basedOn w:val="1"/>
    <w:qFormat/>
    <w:uiPriority w:val="0"/>
    <w:pPr>
      <w:keepNext/>
      <w:suppressAutoHyphens/>
      <w:spacing w:before="60" w:line="280" w:lineRule="exact"/>
      <w:outlineLvl w:val="3"/>
    </w:pPr>
    <w:rPr>
      <w:i/>
      <w:sz w:val="20"/>
    </w:rPr>
  </w:style>
  <w:style w:type="paragraph" w:customStyle="1" w:styleId="127">
    <w:name w:val="Keywords"/>
    <w:basedOn w:val="1"/>
    <w:qFormat/>
    <w:uiPriority w:val="0"/>
    <w:pPr>
      <w:spacing w:line="240" w:lineRule="auto"/>
    </w:pPr>
  </w:style>
  <w:style w:type="paragraph" w:customStyle="1" w:styleId="128">
    <w:name w:val="List1"/>
    <w:basedOn w:val="1"/>
    <w:qFormat/>
    <w:uiPriority w:val="0"/>
    <w:pPr>
      <w:spacing w:before="40" w:after="120" w:line="240" w:lineRule="exact"/>
    </w:pPr>
  </w:style>
  <w:style w:type="paragraph" w:customStyle="1" w:styleId="129">
    <w:name w:val="List2"/>
    <w:basedOn w:val="1"/>
    <w:qFormat/>
    <w:uiPriority w:val="0"/>
    <w:pPr>
      <w:spacing w:before="40" w:line="240" w:lineRule="exact"/>
      <w:ind w:left="720"/>
    </w:pPr>
  </w:style>
  <w:style w:type="paragraph" w:customStyle="1" w:styleId="130">
    <w:name w:val="ListPara"/>
    <w:basedOn w:val="1"/>
    <w:qFormat/>
    <w:uiPriority w:val="0"/>
    <w:pPr>
      <w:spacing w:line="240" w:lineRule="auto"/>
      <w:ind w:left="720"/>
    </w:pPr>
  </w:style>
  <w:style w:type="paragraph" w:customStyle="1" w:styleId="131">
    <w:name w:val="Miscellaneous"/>
    <w:basedOn w:val="1"/>
    <w:qFormat/>
    <w:uiPriority w:val="0"/>
    <w:pPr>
      <w:spacing w:before="120" w:line="240" w:lineRule="exact"/>
    </w:pPr>
  </w:style>
  <w:style w:type="paragraph" w:customStyle="1" w:styleId="132">
    <w:name w:val="MoreInfoWeb"/>
    <w:basedOn w:val="1"/>
    <w:qFormat/>
    <w:uiPriority w:val="0"/>
    <w:pPr>
      <w:spacing w:before="120" w:line="240" w:lineRule="exact"/>
    </w:pPr>
  </w:style>
  <w:style w:type="character" w:customStyle="1" w:styleId="133">
    <w:name w:val="Noindex"/>
    <w:qFormat/>
    <w:uiPriority w:val="0"/>
    <w:rPr>
      <w:color w:val="FF6600"/>
    </w:rPr>
  </w:style>
  <w:style w:type="paragraph" w:customStyle="1" w:styleId="134">
    <w:name w:val="ParaCont"/>
    <w:basedOn w:val="1"/>
    <w:qFormat/>
    <w:uiPriority w:val="0"/>
    <w:pPr>
      <w:spacing w:line="360" w:lineRule="auto"/>
    </w:pPr>
  </w:style>
  <w:style w:type="paragraph" w:customStyle="1" w:styleId="135">
    <w:name w:val="HeadE"/>
    <w:basedOn w:val="136"/>
    <w:qFormat/>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qFormat/>
    <w:uiPriority w:val="0"/>
    <w:pPr>
      <w:spacing w:before="120" w:after="120"/>
    </w:pPr>
  </w:style>
  <w:style w:type="paragraph" w:customStyle="1" w:styleId="138">
    <w:name w:val="GroupAuthor"/>
    <w:basedOn w:val="101"/>
    <w:qFormat/>
    <w:uiPriority w:val="0"/>
    <w:rPr>
      <w:b/>
      <w:i/>
    </w:rPr>
  </w:style>
  <w:style w:type="paragraph" w:customStyle="1" w:styleId="139">
    <w:name w:val="Position"/>
    <w:basedOn w:val="1"/>
    <w:next w:val="1"/>
    <w:qFormat/>
    <w:uiPriority w:val="0"/>
    <w:pPr>
      <w:spacing w:line="240" w:lineRule="auto"/>
    </w:pPr>
    <w:rPr>
      <w:i/>
    </w:rPr>
  </w:style>
  <w:style w:type="paragraph" w:customStyle="1" w:styleId="140">
    <w:name w:val="ProductAuth"/>
    <w:basedOn w:val="100"/>
    <w:qFormat/>
    <w:uiPriority w:val="0"/>
  </w:style>
  <w:style w:type="paragraph" w:customStyle="1" w:styleId="141">
    <w:name w:val="ProductDetails"/>
    <w:basedOn w:val="112"/>
    <w:qFormat/>
    <w:uiPriority w:val="0"/>
  </w:style>
  <w:style w:type="paragraph" w:customStyle="1" w:styleId="142">
    <w:name w:val="QuoteRef"/>
    <w:basedOn w:val="1"/>
    <w:qFormat/>
    <w:uiPriority w:val="0"/>
    <w:pPr>
      <w:spacing w:after="60"/>
    </w:pPr>
  </w:style>
  <w:style w:type="paragraph" w:customStyle="1" w:styleId="143">
    <w:name w:val="Rating"/>
    <w:basedOn w:val="112"/>
    <w:qFormat/>
    <w:uiPriority w:val="0"/>
    <w:pPr>
      <w:ind w:firstLine="0"/>
    </w:pPr>
  </w:style>
  <w:style w:type="paragraph" w:customStyle="1" w:styleId="144">
    <w:name w:val="Reference"/>
    <w:basedOn w:val="1"/>
    <w:qFormat/>
    <w:uiPriority w:val="0"/>
    <w:pPr>
      <w:numPr>
        <w:ilvl w:val="0"/>
        <w:numId w:val="13"/>
      </w:numPr>
      <w:spacing w:before="40" w:line="360" w:lineRule="auto"/>
      <w:ind w:left="461" w:hanging="173"/>
    </w:pPr>
  </w:style>
  <w:style w:type="paragraph" w:customStyle="1" w:styleId="145">
    <w:name w:val="RelatedTo"/>
    <w:basedOn w:val="1"/>
    <w:qFormat/>
    <w:uiPriority w:val="0"/>
  </w:style>
  <w:style w:type="paragraph" w:customStyle="1" w:styleId="146">
    <w:name w:val="RelatedToWeb"/>
    <w:basedOn w:val="1"/>
    <w:qFormat/>
    <w:uiPriority w:val="0"/>
  </w:style>
  <w:style w:type="paragraph" w:customStyle="1" w:styleId="147">
    <w:name w:val="Reviewed"/>
    <w:basedOn w:val="134"/>
    <w:qFormat/>
    <w:uiPriority w:val="0"/>
  </w:style>
  <w:style w:type="paragraph" w:customStyle="1" w:styleId="148">
    <w:name w:val="ShortAuthor"/>
    <w:basedOn w:val="1"/>
    <w:qFormat/>
    <w:uiPriority w:val="0"/>
    <w:rPr>
      <w:i/>
    </w:rPr>
  </w:style>
  <w:style w:type="paragraph" w:customStyle="1" w:styleId="149">
    <w:name w:val="ShortTitle"/>
    <w:basedOn w:val="1"/>
    <w:qFormat/>
    <w:uiPriority w:val="0"/>
    <w:rPr>
      <w:rFonts w:ascii="Arial" w:hAnsi="Arial"/>
      <w:i/>
      <w:sz w:val="20"/>
    </w:rPr>
  </w:style>
  <w:style w:type="paragraph" w:customStyle="1" w:styleId="150">
    <w:name w:val="SourceRef"/>
    <w:basedOn w:val="112"/>
    <w:qFormat/>
    <w:uiPriority w:val="0"/>
    <w:pPr>
      <w:ind w:firstLine="0"/>
    </w:pPr>
  </w:style>
  <w:style w:type="paragraph" w:customStyle="1" w:styleId="151">
    <w:name w:val="Standfirst"/>
    <w:basedOn w:val="98"/>
    <w:qFormat/>
    <w:uiPriority w:val="0"/>
  </w:style>
  <w:style w:type="paragraph" w:customStyle="1" w:styleId="152">
    <w:name w:val="Subtitle1"/>
    <w:basedOn w:val="55"/>
    <w:qFormat/>
    <w:uiPriority w:val="0"/>
  </w:style>
  <w:style w:type="paragraph" w:customStyle="1" w:styleId="153">
    <w:name w:val="Table"/>
    <w:basedOn w:val="1"/>
    <w:qFormat/>
    <w:uiPriority w:val="0"/>
    <w:pPr>
      <w:numPr>
        <w:ilvl w:val="0"/>
        <w:numId w:val="14"/>
      </w:numPr>
      <w:tabs>
        <w:tab w:val="left" w:pos="1021"/>
        <w:tab w:val="clear" w:pos="1440"/>
      </w:tabs>
    </w:pPr>
    <w:rPr>
      <w:i/>
    </w:rPr>
  </w:style>
  <w:style w:type="paragraph" w:customStyle="1" w:styleId="154">
    <w:name w:val="TableNote"/>
    <w:basedOn w:val="1"/>
    <w:qFormat/>
    <w:uiPriority w:val="0"/>
  </w:style>
  <w:style w:type="character" w:customStyle="1" w:styleId="155">
    <w:name w:val="TableRef"/>
    <w:basedOn w:val="76"/>
    <w:qFormat/>
    <w:uiPriority w:val="0"/>
    <w:rPr>
      <w:color w:val="0000FF"/>
      <w:vertAlign w:val="superscript"/>
    </w:rPr>
  </w:style>
  <w:style w:type="paragraph" w:customStyle="1" w:styleId="156">
    <w:name w:val="TableTitle"/>
    <w:basedOn w:val="1"/>
    <w:qFormat/>
    <w:uiPriority w:val="0"/>
  </w:style>
  <w:style w:type="paragraph" w:customStyle="1" w:styleId="157">
    <w:name w:val="Topic"/>
    <w:basedOn w:val="1"/>
    <w:qFormat/>
    <w:uiPriority w:val="0"/>
    <w:pPr>
      <w:spacing w:before="40" w:line="260" w:lineRule="exact"/>
    </w:pPr>
    <w:rPr>
      <w:i/>
      <w:color w:val="0000FF"/>
    </w:rPr>
  </w:style>
  <w:style w:type="character" w:customStyle="1" w:styleId="158">
    <w:name w:val="URL"/>
    <w:basedOn w:val="76"/>
    <w:qFormat/>
    <w:uiPriority w:val="0"/>
    <w:rPr>
      <w:color w:val="666699"/>
    </w:rPr>
  </w:style>
  <w:style w:type="paragraph" w:customStyle="1" w:styleId="159">
    <w:name w:val="WebRef"/>
    <w:basedOn w:val="1"/>
    <w:qFormat/>
    <w:uiPriority w:val="0"/>
    <w:pPr>
      <w:numPr>
        <w:ilvl w:val="0"/>
        <w:numId w:val="15"/>
      </w:numPr>
      <w:tabs>
        <w:tab w:val="left" w:pos="720"/>
        <w:tab w:val="clear" w:pos="1800"/>
      </w:tabs>
      <w:ind w:left="360"/>
    </w:pPr>
  </w:style>
  <w:style w:type="character" w:customStyle="1" w:styleId="160">
    <w:name w:val="XRef"/>
    <w:basedOn w:val="76"/>
    <w:qFormat/>
    <w:uiPriority w:val="0"/>
    <w:rPr>
      <w:color w:val="0000FF"/>
      <w:vertAlign w:val="superscript"/>
    </w:rPr>
  </w:style>
  <w:style w:type="character" w:customStyle="1" w:styleId="161">
    <w:name w:val="wXRef"/>
    <w:basedOn w:val="160"/>
    <w:qFormat/>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76"/>
    <w:qFormat/>
    <w:uiPriority w:val="0"/>
    <w:rPr>
      <w:color w:val="999999"/>
      <w:shd w:val="clear" w:color="auto" w:fill="auto"/>
    </w:rPr>
  </w:style>
  <w:style w:type="paragraph" w:customStyle="1" w:styleId="165">
    <w:name w:val="ObitBiog"/>
    <w:basedOn w:val="112"/>
    <w:qFormat/>
    <w:uiPriority w:val="0"/>
    <w:pPr>
      <w:spacing w:before="120" w:line="260" w:lineRule="exact"/>
      <w:ind w:firstLine="0"/>
    </w:pPr>
    <w:rPr>
      <w:b/>
      <w:i/>
      <w:sz w:val="22"/>
    </w:rPr>
  </w:style>
  <w:style w:type="paragraph" w:customStyle="1" w:styleId="166">
    <w:name w:val="TableHeader"/>
    <w:basedOn w:val="112"/>
    <w:qFormat/>
    <w:uiPriority w:val="0"/>
    <w:pPr>
      <w:spacing w:before="120" w:line="240" w:lineRule="auto"/>
      <w:ind w:firstLine="0"/>
    </w:pPr>
    <w:rPr>
      <w:b/>
    </w:rPr>
  </w:style>
  <w:style w:type="character" w:customStyle="1" w:styleId="167">
    <w:name w:val="Image"/>
    <w:basedOn w:val="133"/>
    <w:qFormat/>
    <w:uiPriority w:val="0"/>
    <w:rPr>
      <w:b/>
      <w:color w:val="00FF00"/>
    </w:rPr>
  </w:style>
  <w:style w:type="paragraph" w:customStyle="1" w:styleId="168">
    <w:name w:val="TableSubHead"/>
    <w:basedOn w:val="166"/>
    <w:qFormat/>
    <w:uiPriority w:val="0"/>
  </w:style>
  <w:style w:type="paragraph" w:customStyle="1" w:styleId="169">
    <w:name w:val="ArtGroup"/>
    <w:basedOn w:val="111"/>
    <w:qFormat/>
    <w:uiPriority w:val="0"/>
    <w:rPr>
      <w:sz w:val="22"/>
    </w:rPr>
  </w:style>
  <w:style w:type="paragraph" w:customStyle="1" w:styleId="170">
    <w:name w:val="Biog"/>
    <w:basedOn w:val="94"/>
    <w:qFormat/>
    <w:uiPriority w:val="0"/>
  </w:style>
  <w:style w:type="paragraph" w:customStyle="1" w:styleId="171">
    <w:name w:val="SearchInfo"/>
    <w:basedOn w:val="1"/>
    <w:qFormat/>
    <w:uiPriority w:val="0"/>
    <w:pPr>
      <w:spacing w:before="120" w:line="240" w:lineRule="exact"/>
    </w:pPr>
  </w:style>
  <w:style w:type="paragraph" w:customStyle="1" w:styleId="172">
    <w:name w:val="SeriesInfo"/>
    <w:basedOn w:val="1"/>
    <w:qFormat/>
    <w:uiPriority w:val="0"/>
    <w:pPr>
      <w:spacing w:before="120" w:line="240" w:lineRule="exact"/>
    </w:pPr>
  </w:style>
  <w:style w:type="paragraph" w:customStyle="1" w:styleId="173">
    <w:name w:val="Remark"/>
    <w:basedOn w:val="1"/>
    <w:qFormat/>
    <w:uiPriority w:val="0"/>
    <w:rPr>
      <w:color w:val="FF0000"/>
    </w:rPr>
  </w:style>
  <w:style w:type="paragraph" w:customStyle="1" w:styleId="174">
    <w:name w:val="BoxStart4"/>
    <w:basedOn w:val="107"/>
    <w:qFormat/>
    <w:uiPriority w:val="0"/>
  </w:style>
  <w:style w:type="paragraph" w:customStyle="1" w:styleId="175">
    <w:name w:val="Bibliography"/>
    <w:basedOn w:val="144"/>
    <w:qFormat/>
    <w:uiPriority w:val="0"/>
    <w:pPr>
      <w:numPr>
        <w:ilvl w:val="0"/>
        <w:numId w:val="0"/>
      </w:numPr>
    </w:pPr>
  </w:style>
  <w:style w:type="paragraph" w:customStyle="1" w:styleId="176">
    <w:name w:val="PullQuote"/>
    <w:basedOn w:val="114"/>
    <w:qFormat/>
    <w:uiPriority w:val="0"/>
  </w:style>
  <w:style w:type="paragraph" w:customStyle="1" w:styleId="177">
    <w:name w:val="AncillHead"/>
    <w:basedOn w:val="125"/>
    <w:qFormat/>
    <w:uiPriority w:val="0"/>
  </w:style>
  <w:style w:type="paragraph" w:customStyle="1" w:styleId="178">
    <w:name w:val="RefHead"/>
    <w:basedOn w:val="125"/>
    <w:qFormat/>
    <w:uiPriority w:val="0"/>
  </w:style>
  <w:style w:type="paragraph" w:customStyle="1" w:styleId="179">
    <w:name w:val="FlushQuote"/>
    <w:basedOn w:val="114"/>
    <w:qFormat/>
    <w:uiPriority w:val="0"/>
    <w:pPr>
      <w:ind w:left="0" w:right="0"/>
    </w:pPr>
    <w:rPr>
      <w:sz w:val="22"/>
    </w:rPr>
  </w:style>
  <w:style w:type="paragraph" w:customStyle="1" w:styleId="180">
    <w:name w:val="ProductTitle"/>
    <w:basedOn w:val="1"/>
    <w:next w:val="140"/>
    <w:qFormat/>
    <w:uiPriority w:val="0"/>
    <w:rPr>
      <w:b/>
      <w:sz w:val="28"/>
    </w:rPr>
  </w:style>
  <w:style w:type="paragraph" w:customStyle="1" w:styleId="181">
    <w:name w:val="EthicalApproval"/>
    <w:basedOn w:val="137"/>
    <w:qFormat/>
    <w:uiPriority w:val="0"/>
  </w:style>
  <w:style w:type="paragraph" w:customStyle="1" w:styleId="182">
    <w:name w:val="Abrv-Title"/>
    <w:basedOn w:val="1"/>
    <w:autoRedefine/>
    <w:qFormat/>
    <w:uiPriority w:val="0"/>
  </w:style>
  <w:style w:type="paragraph" w:customStyle="1" w:styleId="183">
    <w:name w:val="Web logo"/>
    <w:basedOn w:val="1"/>
    <w:qFormat/>
    <w:uiPriority w:val="0"/>
  </w:style>
  <w:style w:type="character" w:customStyle="1" w:styleId="184">
    <w:name w:val="Preformatted"/>
    <w:basedOn w:val="76"/>
    <w:qFormat/>
    <w:uiPriority w:val="0"/>
  </w:style>
  <w:style w:type="paragraph" w:customStyle="1" w:styleId="185">
    <w:name w:val="Auxillary Number"/>
    <w:basedOn w:val="1"/>
    <w:autoRedefine/>
    <w:qFormat/>
    <w:uiPriority w:val="0"/>
  </w:style>
  <w:style w:type="paragraph" w:customStyle="1" w:styleId="186">
    <w:name w:val="DOI"/>
    <w:basedOn w:val="1"/>
    <w:autoRedefine/>
    <w:qFormat/>
    <w:uiPriority w:val="0"/>
  </w:style>
  <w:style w:type="paragraph" w:customStyle="1" w:styleId="187">
    <w:name w:val="Unit-ID"/>
    <w:basedOn w:val="1"/>
    <w:autoRedefine/>
    <w:qFormat/>
    <w:uiPriority w:val="0"/>
  </w:style>
  <w:style w:type="paragraph" w:customStyle="1" w:styleId="188">
    <w:name w:val="Abbreviation"/>
    <w:basedOn w:val="1"/>
    <w:qFormat/>
    <w:uiPriority w:val="0"/>
  </w:style>
  <w:style w:type="paragraph" w:customStyle="1" w:styleId="189">
    <w:name w:val="Appendix"/>
    <w:basedOn w:val="1"/>
    <w:qFormat/>
    <w:uiPriority w:val="0"/>
    <w:rPr>
      <w:b/>
    </w:rPr>
  </w:style>
  <w:style w:type="paragraph" w:customStyle="1" w:styleId="190">
    <w:name w:val="Authored by"/>
    <w:basedOn w:val="1"/>
    <w:qFormat/>
    <w:uiPriority w:val="0"/>
    <w:rPr>
      <w:b/>
      <w:sz w:val="28"/>
    </w:rPr>
  </w:style>
  <w:style w:type="paragraph" w:customStyle="1" w:styleId="191">
    <w:name w:val="BookDetails"/>
    <w:basedOn w:val="1"/>
    <w:qFormat/>
    <w:uiPriority w:val="0"/>
  </w:style>
  <w:style w:type="paragraph" w:customStyle="1" w:styleId="192">
    <w:name w:val="BoxStart"/>
    <w:basedOn w:val="1"/>
    <w:qFormat/>
    <w:uiPriority w:val="0"/>
  </w:style>
  <w:style w:type="paragraph" w:customStyle="1" w:styleId="193">
    <w:name w:val="Citation"/>
    <w:basedOn w:val="1"/>
    <w:autoRedefine/>
    <w:qFormat/>
    <w:uiPriority w:val="0"/>
  </w:style>
  <w:style w:type="paragraph" w:customStyle="1" w:styleId="194">
    <w:name w:val="Correspondent"/>
    <w:basedOn w:val="1"/>
    <w:autoRedefine/>
    <w:qFormat/>
    <w:uiPriority w:val="0"/>
  </w:style>
  <w:style w:type="paragraph" w:customStyle="1" w:styleId="195">
    <w:name w:val="EquationText"/>
    <w:basedOn w:val="1"/>
    <w:autoRedefine/>
    <w:qFormat/>
    <w:uiPriority w:val="0"/>
  </w:style>
  <w:style w:type="paragraph" w:customStyle="1" w:styleId="196">
    <w:name w:val="Footnotes"/>
    <w:basedOn w:val="1"/>
    <w:qFormat/>
    <w:uiPriority w:val="0"/>
  </w:style>
  <w:style w:type="paragraph" w:customStyle="1" w:styleId="197">
    <w:name w:val="KeyWords"/>
    <w:basedOn w:val="1"/>
    <w:autoRedefine/>
    <w:qFormat/>
    <w:uiPriority w:val="0"/>
  </w:style>
  <w:style w:type="paragraph" w:customStyle="1" w:styleId="198">
    <w:name w:val="ListParaMore"/>
    <w:basedOn w:val="1"/>
    <w:autoRedefine/>
    <w:qFormat/>
    <w:uiPriority w:val="0"/>
  </w:style>
  <w:style w:type="paragraph" w:customStyle="1" w:styleId="199">
    <w:name w:val="Onlinefirst"/>
    <w:basedOn w:val="1"/>
    <w:qFormat/>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qFormat/>
    <w:uiPriority w:val="0"/>
  </w:style>
  <w:style w:type="paragraph" w:customStyle="1" w:styleId="202">
    <w:name w:val="Related"/>
    <w:basedOn w:val="1"/>
    <w:qFormat/>
    <w:uiPriority w:val="0"/>
    <w:rPr>
      <w:b/>
      <w:i/>
    </w:rPr>
  </w:style>
  <w:style w:type="paragraph" w:customStyle="1" w:styleId="203">
    <w:name w:val="RespTitle"/>
    <w:basedOn w:val="1"/>
    <w:autoRedefine/>
    <w:qFormat/>
    <w:uiPriority w:val="0"/>
    <w:rPr>
      <w:b/>
    </w:rPr>
  </w:style>
  <w:style w:type="paragraph" w:customStyle="1" w:styleId="204">
    <w:name w:val="ShortAuthors"/>
    <w:basedOn w:val="1"/>
    <w:autoRedefine/>
    <w:qFormat/>
    <w:uiPriority w:val="0"/>
  </w:style>
  <w:style w:type="paragraph" w:customStyle="1" w:styleId="205">
    <w:name w:val="Table Footnote"/>
    <w:basedOn w:val="1"/>
    <w:qFormat/>
    <w:uiPriority w:val="0"/>
    <w:rPr>
      <w:rFonts w:ascii="Arial" w:hAnsi="Arial"/>
      <w:sz w:val="22"/>
    </w:rPr>
  </w:style>
  <w:style w:type="paragraph" w:customStyle="1" w:styleId="206">
    <w:name w:val="Topic(s)"/>
    <w:basedOn w:val="1"/>
    <w:autoRedefine/>
    <w:qFormat/>
    <w:uiPriority w:val="0"/>
    <w:rPr>
      <w:i/>
    </w:rPr>
  </w:style>
  <w:style w:type="paragraph" w:customStyle="1" w:styleId="207">
    <w:name w:val="Revised"/>
    <w:basedOn w:val="1"/>
    <w:autoRedefine/>
    <w:qFormat/>
    <w:uiPriority w:val="0"/>
  </w:style>
  <w:style w:type="paragraph" w:customStyle="1" w:styleId="208">
    <w:name w:val="Table Width"/>
    <w:basedOn w:val="1"/>
    <w:qFormat/>
    <w:uiPriority w:val="0"/>
  </w:style>
  <w:style w:type="paragraph" w:customStyle="1" w:styleId="209">
    <w:name w:val="Table Font"/>
    <w:basedOn w:val="1"/>
    <w:qFormat/>
    <w:uiPriority w:val="0"/>
  </w:style>
  <w:style w:type="paragraph" w:customStyle="1" w:styleId="210">
    <w:name w:val="Article Title"/>
    <w:basedOn w:val="1"/>
    <w:qFormat/>
    <w:uiPriority w:val="0"/>
    <w:rPr>
      <w:rFonts w:ascii="Arial" w:hAnsi="Arial"/>
      <w:b/>
      <w:sz w:val="36"/>
    </w:rPr>
  </w:style>
  <w:style w:type="paragraph" w:customStyle="1" w:styleId="211">
    <w:name w:val="BNF Number"/>
    <w:basedOn w:val="1"/>
    <w:qFormat/>
    <w:uiPriority w:val="0"/>
    <w:rPr>
      <w:rFonts w:ascii="Arial" w:hAnsi="Arial"/>
      <w:b/>
      <w:sz w:val="22"/>
    </w:rPr>
  </w:style>
  <w:style w:type="paragraph" w:customStyle="1" w:styleId="212">
    <w:name w:val="Introduction"/>
    <w:basedOn w:val="1"/>
    <w:qFormat/>
    <w:uiPriority w:val="0"/>
    <w:rPr>
      <w:rFonts w:ascii="Arial" w:hAnsi="Arial"/>
      <w:sz w:val="22"/>
    </w:rPr>
  </w:style>
  <w:style w:type="paragraph" w:customStyle="1" w:styleId="213">
    <w:name w:val="Paragraph"/>
    <w:basedOn w:val="1"/>
    <w:qFormat/>
    <w:uiPriority w:val="0"/>
    <w:rPr>
      <w:rFonts w:ascii="Arial" w:hAnsi="Arial"/>
      <w:sz w:val="22"/>
    </w:rPr>
  </w:style>
  <w:style w:type="paragraph" w:customStyle="1" w:styleId="214">
    <w:name w:val="Table Head"/>
    <w:basedOn w:val="1"/>
    <w:qFormat/>
    <w:uiPriority w:val="0"/>
    <w:rPr>
      <w:rFonts w:ascii="Arial" w:hAnsi="Arial"/>
      <w:b/>
      <w:sz w:val="22"/>
    </w:rPr>
  </w:style>
  <w:style w:type="paragraph" w:customStyle="1" w:styleId="215">
    <w:name w:val="Table Body"/>
    <w:basedOn w:val="1"/>
    <w:qFormat/>
    <w:uiPriority w:val="0"/>
    <w:rPr>
      <w:rFonts w:ascii="Arial" w:hAnsi="Arial"/>
      <w:sz w:val="22"/>
    </w:rPr>
  </w:style>
  <w:style w:type="paragraph" w:customStyle="1" w:styleId="216">
    <w:name w:val="Figure Caption"/>
    <w:basedOn w:val="1"/>
    <w:qFormat/>
    <w:uiPriority w:val="0"/>
    <w:rPr>
      <w:rFonts w:ascii="Arial" w:hAnsi="Arial"/>
      <w:sz w:val="22"/>
    </w:rPr>
  </w:style>
  <w:style w:type="paragraph" w:customStyle="1" w:styleId="217">
    <w:name w:val="References"/>
    <w:basedOn w:val="1"/>
    <w:qFormat/>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Template>
  <Company>irisq</Company>
  <Pages>11</Pages>
  <Words>3847</Words>
  <Characters>23827</Characters>
  <Lines>39</Lines>
  <Paragraphs>11</Paragraphs>
  <TotalTime>1</TotalTime>
  <ScaleCrop>false</ScaleCrop>
  <LinksUpToDate>false</LinksUpToDate>
  <CharactersWithSpaces>27511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2014-09-01T14:20:00Z</dcterms:created>
  <dc:creator>pplouffe</dc:creator>
  <cp:lastModifiedBy>菜菜菜鸟一号</cp:lastModifiedBy>
  <cp:lastPrinted>2014-09-01T08:36:00Z</cp:lastPrinted>
  <dcterms:modified xsi:type="dcterms:W3CDTF">2026-05-17T02:23:32Z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y fmtid="{D5CDD505-2E9C-101B-9397-08002B2CF9AE}" pid="7" name="KSOTemplateDocerSaveRecord">
    <vt:lpwstr>eyJoZGlkIjoiYmE0YWY2ZDU3YTQxN2RhNTU0MjMxZmIyZTg0MDEyNWYiLCJ1c2VySWQiOiI0ODQ4MDc3OTgifQ==</vt:lpwstr>
  </property>
  <property fmtid="{D5CDD505-2E9C-101B-9397-08002B2CF9AE}" pid="8" name="KSOProductBuildVer">
    <vt:lpwstr>2052-12.1.0.25865</vt:lpwstr>
  </property>
  <property fmtid="{D5CDD505-2E9C-101B-9397-08002B2CF9AE}" pid="9" name="ICV">
    <vt:lpwstr>68D852475A6040DA96497BF08F1FD138_12</vt:lpwstr>
  </property>
</Properties>
</file>