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51FD" w14:textId="247D7A6B" w:rsidR="00A362EE" w:rsidRPr="008256E5" w:rsidRDefault="00A362EE" w:rsidP="00F64D8E">
      <w:pPr>
        <w:spacing w:line="278" w:lineRule="auto"/>
        <w:rPr>
          <w:rFonts w:ascii="Times New Roman" w:hAnsi="Times New Roman" w:cs="Times New Roman"/>
        </w:rPr>
      </w:pPr>
      <w:r w:rsidRPr="008256E5">
        <w:rPr>
          <w:rFonts w:ascii="Times New Roman" w:hAnsi="Times New Roman" w:cs="Times New Roman"/>
        </w:rPr>
        <w:t>Supplemental Table S1</w:t>
      </w:r>
    </w:p>
    <w:p w14:paraId="290520F1" w14:textId="77777777" w:rsidR="00A362EE" w:rsidRPr="008256E5" w:rsidRDefault="00A362EE" w:rsidP="00A362E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8256E5">
        <w:rPr>
          <w:rFonts w:ascii="Times New Roman" w:hAnsi="Times New Roman" w:cs="Times New Roman"/>
        </w:rPr>
        <w:t>Table. ICD-10 codes used for analysis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1884"/>
        <w:gridCol w:w="4330"/>
      </w:tblGrid>
      <w:tr w:rsidR="00A362EE" w:rsidRPr="008256E5" w14:paraId="359CD897" w14:textId="77777777" w:rsidTr="00C31FB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CD82B6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Condition / Procedure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1C4CB2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ICD-10 Code(s)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B71491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A362EE" w:rsidRPr="008256E5" w14:paraId="399F05D5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DF17F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Pulmonary Hypertension</w:t>
            </w:r>
          </w:p>
        </w:tc>
        <w:tc>
          <w:tcPr>
            <w:tcW w:w="0" w:type="auto"/>
            <w:vAlign w:val="center"/>
            <w:hideMark/>
          </w:tcPr>
          <w:p w14:paraId="46966A68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I27.0</w:t>
            </w:r>
          </w:p>
        </w:tc>
        <w:tc>
          <w:tcPr>
            <w:tcW w:w="0" w:type="auto"/>
            <w:vAlign w:val="center"/>
            <w:hideMark/>
          </w:tcPr>
          <w:p w14:paraId="137CE662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Primary pulmonary hypertension</w:t>
            </w:r>
          </w:p>
        </w:tc>
      </w:tr>
      <w:tr w:rsidR="00A362EE" w:rsidRPr="008256E5" w14:paraId="569F3550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F9A1E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FB82D49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I27.2</w:t>
            </w:r>
          </w:p>
        </w:tc>
        <w:tc>
          <w:tcPr>
            <w:tcW w:w="0" w:type="auto"/>
            <w:vAlign w:val="center"/>
            <w:hideMark/>
          </w:tcPr>
          <w:p w14:paraId="57AE5928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proofErr w:type="gramStart"/>
            <w:r w:rsidRPr="008256E5">
              <w:rPr>
                <w:rFonts w:ascii="Times New Roman" w:hAnsi="Times New Roman" w:cs="Times New Roman"/>
              </w:rPr>
              <w:t>Other</w:t>
            </w:r>
            <w:proofErr w:type="gramEnd"/>
            <w:r w:rsidRPr="008256E5">
              <w:rPr>
                <w:rFonts w:ascii="Times New Roman" w:hAnsi="Times New Roman" w:cs="Times New Roman"/>
              </w:rPr>
              <w:t xml:space="preserve"> secondary pulmonary hypertension</w:t>
            </w:r>
          </w:p>
        </w:tc>
      </w:tr>
      <w:tr w:rsidR="00A362EE" w:rsidRPr="008256E5" w14:paraId="6582BF5E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D197A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5727E0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I27.20</w:t>
            </w:r>
          </w:p>
        </w:tc>
        <w:tc>
          <w:tcPr>
            <w:tcW w:w="0" w:type="auto"/>
            <w:vAlign w:val="center"/>
            <w:hideMark/>
          </w:tcPr>
          <w:p w14:paraId="19A18BF4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Pulmonary hypertension, unspecified</w:t>
            </w:r>
          </w:p>
        </w:tc>
      </w:tr>
      <w:tr w:rsidR="00A362EE" w:rsidRPr="008256E5" w14:paraId="13EC9BBE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46E09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2E36E5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I27.21</w:t>
            </w:r>
          </w:p>
        </w:tc>
        <w:tc>
          <w:tcPr>
            <w:tcW w:w="0" w:type="auto"/>
            <w:vAlign w:val="center"/>
            <w:hideMark/>
          </w:tcPr>
          <w:p w14:paraId="0EFCD10D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Secondary pulmonary arterial hypertension</w:t>
            </w:r>
          </w:p>
        </w:tc>
      </w:tr>
      <w:tr w:rsidR="00A362EE" w:rsidRPr="008256E5" w14:paraId="4F34C845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F8E74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Pulmonary Valve Replacement</w:t>
            </w:r>
          </w:p>
        </w:tc>
        <w:tc>
          <w:tcPr>
            <w:tcW w:w="0" w:type="auto"/>
            <w:vAlign w:val="center"/>
            <w:hideMark/>
          </w:tcPr>
          <w:p w14:paraId="10A8EE75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02RH0KZ</w:t>
            </w:r>
          </w:p>
        </w:tc>
        <w:tc>
          <w:tcPr>
            <w:tcW w:w="0" w:type="auto"/>
            <w:vAlign w:val="center"/>
            <w:hideMark/>
          </w:tcPr>
          <w:p w14:paraId="3BD0AACA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Replacement of pulmonary valve with synthetic substitute, open approach</w:t>
            </w:r>
          </w:p>
        </w:tc>
      </w:tr>
      <w:tr w:rsidR="00A362EE" w:rsidRPr="008256E5" w14:paraId="0D85F75C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3E472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8FBA09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02RH3KZ</w:t>
            </w:r>
          </w:p>
        </w:tc>
        <w:tc>
          <w:tcPr>
            <w:tcW w:w="0" w:type="auto"/>
            <w:vAlign w:val="center"/>
            <w:hideMark/>
          </w:tcPr>
          <w:p w14:paraId="35E0D631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Replacement of pulmonary valve with synthetic substitute, percutaneous approach</w:t>
            </w:r>
          </w:p>
        </w:tc>
      </w:tr>
      <w:tr w:rsidR="00A362EE" w:rsidRPr="008256E5" w14:paraId="5F4E9698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F4AED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9A6361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02RH4KZ</w:t>
            </w:r>
          </w:p>
        </w:tc>
        <w:tc>
          <w:tcPr>
            <w:tcW w:w="0" w:type="auto"/>
            <w:vAlign w:val="center"/>
            <w:hideMark/>
          </w:tcPr>
          <w:p w14:paraId="44E34EB0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Replacement of pulmonary valve with synthetic substitute, percutaneous endoscopic approach</w:t>
            </w:r>
          </w:p>
        </w:tc>
      </w:tr>
      <w:tr w:rsidR="00A362EE" w:rsidRPr="008256E5" w14:paraId="6ADD4FBD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42B32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Hypertension</w:t>
            </w:r>
          </w:p>
        </w:tc>
        <w:tc>
          <w:tcPr>
            <w:tcW w:w="0" w:type="auto"/>
            <w:vAlign w:val="center"/>
            <w:hideMark/>
          </w:tcPr>
          <w:p w14:paraId="0629FF2D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I10</w:t>
            </w:r>
          </w:p>
        </w:tc>
        <w:tc>
          <w:tcPr>
            <w:tcW w:w="0" w:type="auto"/>
            <w:vAlign w:val="center"/>
            <w:hideMark/>
          </w:tcPr>
          <w:p w14:paraId="142F04F1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Essential (primary) hypertension</w:t>
            </w:r>
          </w:p>
        </w:tc>
      </w:tr>
      <w:tr w:rsidR="00A362EE" w:rsidRPr="008256E5" w14:paraId="543E3212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8FCB9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Diabetes Mellitus</w:t>
            </w:r>
          </w:p>
        </w:tc>
        <w:tc>
          <w:tcPr>
            <w:tcW w:w="0" w:type="auto"/>
            <w:vAlign w:val="center"/>
            <w:hideMark/>
          </w:tcPr>
          <w:p w14:paraId="561410CF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E11.xx</w:t>
            </w:r>
          </w:p>
        </w:tc>
        <w:tc>
          <w:tcPr>
            <w:tcW w:w="0" w:type="auto"/>
            <w:vAlign w:val="center"/>
            <w:hideMark/>
          </w:tcPr>
          <w:p w14:paraId="5AD5B99A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Type 2 diabetes mellitus (all subcategories)</w:t>
            </w:r>
          </w:p>
        </w:tc>
      </w:tr>
      <w:tr w:rsidR="00A362EE" w:rsidRPr="008256E5" w14:paraId="44DC12F1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3B04E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Chronic Obstructive Pulmonary Disease (COPD)</w:t>
            </w:r>
          </w:p>
        </w:tc>
        <w:tc>
          <w:tcPr>
            <w:tcW w:w="0" w:type="auto"/>
            <w:vAlign w:val="center"/>
            <w:hideMark/>
          </w:tcPr>
          <w:p w14:paraId="1B5FA363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J44.x</w:t>
            </w:r>
          </w:p>
        </w:tc>
        <w:tc>
          <w:tcPr>
            <w:tcW w:w="0" w:type="auto"/>
            <w:vAlign w:val="center"/>
            <w:hideMark/>
          </w:tcPr>
          <w:p w14:paraId="3F0BDAF7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Chronic obstructive pulmonary disease (all subcategories)</w:t>
            </w:r>
          </w:p>
        </w:tc>
      </w:tr>
      <w:tr w:rsidR="00A362EE" w:rsidRPr="008256E5" w14:paraId="77C69E7F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F7FE4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Emphysema</w:t>
            </w:r>
          </w:p>
        </w:tc>
        <w:tc>
          <w:tcPr>
            <w:tcW w:w="0" w:type="auto"/>
            <w:vAlign w:val="center"/>
            <w:hideMark/>
          </w:tcPr>
          <w:p w14:paraId="386A2D96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J43.9</w:t>
            </w:r>
          </w:p>
        </w:tc>
        <w:tc>
          <w:tcPr>
            <w:tcW w:w="0" w:type="auto"/>
            <w:vAlign w:val="center"/>
            <w:hideMark/>
          </w:tcPr>
          <w:p w14:paraId="5C63B293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Emphysema, unspecified</w:t>
            </w:r>
          </w:p>
        </w:tc>
      </w:tr>
      <w:tr w:rsidR="00A362EE" w:rsidRPr="008256E5" w14:paraId="37F08E0A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B59F6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Obesity</w:t>
            </w:r>
          </w:p>
        </w:tc>
        <w:tc>
          <w:tcPr>
            <w:tcW w:w="0" w:type="auto"/>
            <w:vAlign w:val="center"/>
            <w:hideMark/>
          </w:tcPr>
          <w:p w14:paraId="4376F487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E66.x</w:t>
            </w:r>
          </w:p>
        </w:tc>
        <w:tc>
          <w:tcPr>
            <w:tcW w:w="0" w:type="auto"/>
            <w:vAlign w:val="center"/>
            <w:hideMark/>
          </w:tcPr>
          <w:p w14:paraId="458FC7CB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Overweight and obesity (all subcategories)</w:t>
            </w:r>
          </w:p>
        </w:tc>
      </w:tr>
      <w:tr w:rsidR="00A362EE" w:rsidRPr="008256E5" w14:paraId="224A189D" w14:textId="77777777" w:rsidTr="00C3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5E090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  <w:b/>
                <w:bCs/>
              </w:rPr>
              <w:t>Asthma</w:t>
            </w:r>
          </w:p>
        </w:tc>
        <w:tc>
          <w:tcPr>
            <w:tcW w:w="0" w:type="auto"/>
            <w:vAlign w:val="center"/>
            <w:hideMark/>
          </w:tcPr>
          <w:p w14:paraId="0504C05E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J45.x</w:t>
            </w:r>
          </w:p>
        </w:tc>
        <w:tc>
          <w:tcPr>
            <w:tcW w:w="0" w:type="auto"/>
            <w:vAlign w:val="center"/>
            <w:hideMark/>
          </w:tcPr>
          <w:p w14:paraId="225497A3" w14:textId="77777777" w:rsidR="00A362EE" w:rsidRPr="008256E5" w:rsidRDefault="00A362EE" w:rsidP="00C31FB5">
            <w:pPr>
              <w:pStyle w:val="ListParagraph"/>
              <w:rPr>
                <w:rFonts w:ascii="Times New Roman" w:hAnsi="Times New Roman" w:cs="Times New Roman"/>
              </w:rPr>
            </w:pPr>
            <w:r w:rsidRPr="008256E5">
              <w:rPr>
                <w:rFonts w:ascii="Times New Roman" w:hAnsi="Times New Roman" w:cs="Times New Roman"/>
              </w:rPr>
              <w:t>Asthma (all subcategories)</w:t>
            </w:r>
          </w:p>
        </w:tc>
      </w:tr>
    </w:tbl>
    <w:p w14:paraId="0F9F150E" w14:textId="77777777" w:rsidR="00A362EE" w:rsidRPr="008256E5" w:rsidRDefault="00A362EE" w:rsidP="00A362EE">
      <w:pPr>
        <w:pStyle w:val="ListParagraph"/>
        <w:spacing w:after="0"/>
        <w:rPr>
          <w:rFonts w:ascii="Times New Roman" w:hAnsi="Times New Roman" w:cs="Times New Roman"/>
        </w:rPr>
      </w:pPr>
      <w:proofErr w:type="gramStart"/>
      <w:r w:rsidRPr="008256E5">
        <w:rPr>
          <w:rFonts w:ascii="Times New Roman" w:hAnsi="Times New Roman" w:cs="Times New Roman"/>
        </w:rPr>
        <w:t>“.xx</w:t>
      </w:r>
      <w:proofErr w:type="gramEnd"/>
      <w:r w:rsidRPr="008256E5">
        <w:rPr>
          <w:rFonts w:ascii="Times New Roman" w:hAnsi="Times New Roman" w:cs="Times New Roman"/>
        </w:rPr>
        <w:t>” indicates inclusion of all subcodes under that ICD-10 category (e.g., E11.0–E11.9 for type 2 diabetes mellitus; J45.20–J45.99 for asthma).</w:t>
      </w:r>
    </w:p>
    <w:p w14:paraId="3F69C4F0" w14:textId="77777777" w:rsidR="00A362EE" w:rsidRPr="008256E5" w:rsidRDefault="00A362EE" w:rsidP="00907C6B">
      <w:pPr>
        <w:spacing w:line="240" w:lineRule="auto"/>
        <w:rPr>
          <w:rFonts w:ascii="Times New Roman" w:hAnsi="Times New Roman" w:cs="Times New Roman"/>
        </w:rPr>
      </w:pPr>
    </w:p>
    <w:sectPr w:rsidR="00A362EE" w:rsidRPr="0082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85FB4"/>
    <w:multiLevelType w:val="hybridMultilevel"/>
    <w:tmpl w:val="C934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2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7D"/>
    <w:rsid w:val="000109C9"/>
    <w:rsid w:val="00047E39"/>
    <w:rsid w:val="00081AF5"/>
    <w:rsid w:val="00117F1C"/>
    <w:rsid w:val="00190AF6"/>
    <w:rsid w:val="00197B20"/>
    <w:rsid w:val="001E18A5"/>
    <w:rsid w:val="00233DCF"/>
    <w:rsid w:val="00251327"/>
    <w:rsid w:val="00280EF8"/>
    <w:rsid w:val="002B1060"/>
    <w:rsid w:val="00301879"/>
    <w:rsid w:val="0030380B"/>
    <w:rsid w:val="00337C3A"/>
    <w:rsid w:val="0034532C"/>
    <w:rsid w:val="0039672D"/>
    <w:rsid w:val="003B2428"/>
    <w:rsid w:val="003E0F03"/>
    <w:rsid w:val="003E3110"/>
    <w:rsid w:val="0040727D"/>
    <w:rsid w:val="004358C4"/>
    <w:rsid w:val="004422B3"/>
    <w:rsid w:val="00445197"/>
    <w:rsid w:val="004558CF"/>
    <w:rsid w:val="004E73D8"/>
    <w:rsid w:val="005132D5"/>
    <w:rsid w:val="00520737"/>
    <w:rsid w:val="0059607D"/>
    <w:rsid w:val="005A05F8"/>
    <w:rsid w:val="005C6BC2"/>
    <w:rsid w:val="005E51E6"/>
    <w:rsid w:val="0078542A"/>
    <w:rsid w:val="00805105"/>
    <w:rsid w:val="00812BF7"/>
    <w:rsid w:val="0081779B"/>
    <w:rsid w:val="00824522"/>
    <w:rsid w:val="008256E5"/>
    <w:rsid w:val="00881BDA"/>
    <w:rsid w:val="00884E16"/>
    <w:rsid w:val="008A1016"/>
    <w:rsid w:val="008C652C"/>
    <w:rsid w:val="008E3395"/>
    <w:rsid w:val="00907C6B"/>
    <w:rsid w:val="00932057"/>
    <w:rsid w:val="009350B8"/>
    <w:rsid w:val="009D0C26"/>
    <w:rsid w:val="009D5854"/>
    <w:rsid w:val="00A10E6D"/>
    <w:rsid w:val="00A362EE"/>
    <w:rsid w:val="00AA074D"/>
    <w:rsid w:val="00AA4448"/>
    <w:rsid w:val="00B10DE3"/>
    <w:rsid w:val="00BB5BCA"/>
    <w:rsid w:val="00BE5F9D"/>
    <w:rsid w:val="00BF4541"/>
    <w:rsid w:val="00C43772"/>
    <w:rsid w:val="00C610A4"/>
    <w:rsid w:val="00C72AE7"/>
    <w:rsid w:val="00CB71D6"/>
    <w:rsid w:val="00DC1409"/>
    <w:rsid w:val="00DD1D9E"/>
    <w:rsid w:val="00DE3705"/>
    <w:rsid w:val="00DE4150"/>
    <w:rsid w:val="00DF7F09"/>
    <w:rsid w:val="00E0242B"/>
    <w:rsid w:val="00E04DA0"/>
    <w:rsid w:val="00E53598"/>
    <w:rsid w:val="00E5788F"/>
    <w:rsid w:val="00EA5B8F"/>
    <w:rsid w:val="00F232DB"/>
    <w:rsid w:val="00F47867"/>
    <w:rsid w:val="00F64D8E"/>
    <w:rsid w:val="00FD1B47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5601"/>
  <w15:chartTrackingRefBased/>
  <w15:docId w15:val="{9415B515-96B6-40DB-B94F-4D436AC4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07D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0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1016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1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016"/>
    <w:rPr>
      <w:rFonts w:eastAsiaTheme="minorEastAsia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9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B106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Bogarapu, Soujanya</dc:creator>
  <cp:keywords/>
  <dc:description/>
  <cp:lastModifiedBy>Bogarapu, Soujanya</cp:lastModifiedBy>
  <cp:revision>2</cp:revision>
  <dcterms:created xsi:type="dcterms:W3CDTF">2026-05-20T17:41:00Z</dcterms:created>
  <dcterms:modified xsi:type="dcterms:W3CDTF">2026-05-20T17:41:00Z</dcterms:modified>
</cp:coreProperties>
</file>