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882DE" w14:textId="77777777" w:rsidR="00BF7A27" w:rsidRDefault="00BF7A27" w:rsidP="00BF7A2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31D51">
        <w:rPr>
          <w:rFonts w:ascii="Times New Roman" w:hAnsi="Times New Roman" w:cs="Times New Roman"/>
          <w:b/>
          <w:bCs/>
          <w:sz w:val="20"/>
          <w:szCs w:val="20"/>
        </w:rPr>
        <w:t>Supplemental Figures</w:t>
      </w:r>
    </w:p>
    <w:p w14:paraId="74C154F7" w14:textId="77777777" w:rsidR="00BF7A27" w:rsidRDefault="00BF7A27" w:rsidP="00BF7A27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Supplemental Figure 1. </w:t>
      </w:r>
      <w:r w:rsidRPr="00DE4A5A">
        <w:rPr>
          <w:rFonts w:ascii="Times New Roman" w:hAnsi="Times New Roman" w:cs="Times New Roman"/>
          <w:b/>
          <w:bCs/>
          <w:sz w:val="20"/>
          <w:szCs w:val="20"/>
        </w:rPr>
        <w:t>Recurrence-free survival by AI Risk groups</w:t>
      </w:r>
      <w:r w:rsidRPr="00DE4A5A">
        <w:rPr>
          <w:rFonts w:ascii="Times New Roman" w:hAnsi="Times New Roman" w:cs="Times New Roman"/>
          <w:sz w:val="20"/>
          <w:szCs w:val="20"/>
        </w:rPr>
        <w:t xml:space="preserve">. Kaplan-Meier survival curves showing the probability of recurrence-free survival for low- and high-risk groups in the </w:t>
      </w:r>
      <w:r>
        <w:rPr>
          <w:rFonts w:ascii="Times New Roman" w:hAnsi="Times New Roman" w:cs="Times New Roman"/>
          <w:sz w:val="20"/>
          <w:szCs w:val="20"/>
        </w:rPr>
        <w:t>multi-institution discovery</w:t>
      </w:r>
      <w:r w:rsidRPr="00DE4A5A">
        <w:rPr>
          <w:rFonts w:ascii="Times New Roman" w:hAnsi="Times New Roman" w:cs="Times New Roman"/>
          <w:sz w:val="20"/>
          <w:szCs w:val="20"/>
        </w:rPr>
        <w:t xml:space="preserve"> test dataset, as predicted by the AI Risk model.</w:t>
      </w:r>
    </w:p>
    <w:p w14:paraId="37E56B29" w14:textId="77777777" w:rsidR="00BF7A27" w:rsidRDefault="00BF7A27" w:rsidP="00BF7A27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67A12A4" wp14:editId="0429F0FA">
            <wp:extent cx="5926238" cy="3798031"/>
            <wp:effectExtent l="0" t="0" r="5080" b="0"/>
            <wp:docPr id="1972383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83935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9107" cy="380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CDF3B" w14:textId="77777777" w:rsidR="00BF7A27" w:rsidRDefault="00BF7A27" w:rsidP="00BF7A2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B1CC462" w14:textId="77777777" w:rsidR="00BF7A27" w:rsidRDefault="00BF7A27" w:rsidP="00BF7A2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9A6B771" w14:textId="77777777" w:rsidR="00BF7A27" w:rsidRDefault="00BF7A27" w:rsidP="00BF7A27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BD87412" w14:textId="77777777" w:rsidR="00BF7A27" w:rsidRPr="00331D51" w:rsidRDefault="00BF7A27" w:rsidP="00BF7A27">
      <w:pPr>
        <w:rPr>
          <w:rFonts w:ascii="Times New Roman" w:hAnsi="Times New Roman" w:cs="Times New Roman"/>
          <w:noProof/>
          <w:sz w:val="20"/>
          <w:szCs w:val="20"/>
        </w:rPr>
      </w:pPr>
      <w:r w:rsidRPr="00D00406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Supplemental Figure 2</w:t>
      </w:r>
      <w:r w:rsidRPr="00331D51">
        <w:rPr>
          <w:rFonts w:ascii="Times New Roman" w:hAnsi="Times New Roman" w:cs="Times New Roman"/>
          <w:sz w:val="20"/>
          <w:szCs w:val="20"/>
        </w:rPr>
        <w:t xml:space="preserve">. </w:t>
      </w:r>
      <w:r w:rsidRPr="00DD3F6A">
        <w:rPr>
          <w:rFonts w:ascii="Times New Roman" w:hAnsi="Times New Roman" w:cs="Times New Roman"/>
          <w:b/>
          <w:bCs/>
          <w:sz w:val="20"/>
          <w:szCs w:val="20"/>
        </w:rPr>
        <w:t>Feature Importance assessed by SHAP Values.</w:t>
      </w:r>
      <w:r>
        <w:rPr>
          <w:rFonts w:ascii="Times New Roman" w:hAnsi="Times New Roman" w:cs="Times New Roman"/>
          <w:sz w:val="20"/>
          <w:szCs w:val="20"/>
        </w:rPr>
        <w:t xml:space="preserve"> Ranking of SHAP feature importance in the MRI-RS.</w:t>
      </w:r>
    </w:p>
    <w:p w14:paraId="09E9A07F" w14:textId="77777777" w:rsidR="00BF7A27" w:rsidRDefault="00BF7A27" w:rsidP="00BF7A27">
      <w:pPr>
        <w:rPr>
          <w:rFonts w:ascii="Times New Roman" w:hAnsi="Times New Roman" w:cs="Times New Roman"/>
          <w:sz w:val="20"/>
          <w:szCs w:val="20"/>
        </w:rPr>
      </w:pPr>
      <w:r w:rsidRPr="00331D5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80E60AA" wp14:editId="3A9F3C4A">
            <wp:extent cx="5523875" cy="3273697"/>
            <wp:effectExtent l="0" t="0" r="0" b="0"/>
            <wp:docPr id="730548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97" cy="329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EE653" w14:textId="77777777" w:rsidR="00BF7A27" w:rsidRDefault="00BF7A27" w:rsidP="00BF7A2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096F536" w14:textId="77777777" w:rsidR="00BF7A27" w:rsidRDefault="00BF7A27" w:rsidP="00BF7A27">
      <w:pPr>
        <w:rPr>
          <w:rFonts w:ascii="Times New Roman" w:hAnsi="Times New Roman" w:cs="Times New Roman"/>
          <w:sz w:val="20"/>
          <w:szCs w:val="20"/>
        </w:rPr>
      </w:pPr>
      <w:r w:rsidRPr="00D00406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Supplemental Figure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331D5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Propensity Score Matching</w:t>
      </w:r>
      <w:r w:rsidRPr="00DD3F6A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(left) Matching results in MRI-RS low-risk patients. (right) Matching results in MRI-RS high-risk patients.</w:t>
      </w:r>
    </w:p>
    <w:p w14:paraId="4A4A0A82" w14:textId="77777777" w:rsidR="00BF7A27" w:rsidRPr="00331D51" w:rsidRDefault="00BF7A27" w:rsidP="00BF7A27">
      <w:pPr>
        <w:rPr>
          <w:rFonts w:ascii="Times New Roman" w:hAnsi="Times New Roman" w:cs="Times New Roman"/>
          <w:noProof/>
          <w:sz w:val="20"/>
          <w:szCs w:val="20"/>
        </w:rPr>
      </w:pPr>
    </w:p>
    <w:p w14:paraId="1581FAAA" w14:textId="77777777" w:rsidR="00BF7A27" w:rsidRPr="00331D51" w:rsidRDefault="00BF7A27" w:rsidP="00BF7A27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9D8B741" wp14:editId="59FB0052">
            <wp:extent cx="2939258" cy="2351405"/>
            <wp:effectExtent l="0" t="0" r="0" b="0"/>
            <wp:docPr id="11803595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59533" name="Picture 11803595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4584" cy="238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0D481D1D" wp14:editId="2291946A">
            <wp:extent cx="2743497" cy="2268660"/>
            <wp:effectExtent l="0" t="0" r="0" b="5080"/>
            <wp:docPr id="8913932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93267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497" cy="226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8D886" w14:textId="77777777" w:rsidR="008B07A6" w:rsidRDefault="008B07A6"/>
    <w:sectPr w:rsidR="008B07A6" w:rsidSect="00BF7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A27"/>
    <w:rsid w:val="00066677"/>
    <w:rsid w:val="00153A17"/>
    <w:rsid w:val="001A37F3"/>
    <w:rsid w:val="003A4E89"/>
    <w:rsid w:val="00556784"/>
    <w:rsid w:val="00836D47"/>
    <w:rsid w:val="008B07A6"/>
    <w:rsid w:val="00987B63"/>
    <w:rsid w:val="00A234E6"/>
    <w:rsid w:val="00BF7A27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F42FA"/>
  <w15:chartTrackingRefBased/>
  <w15:docId w15:val="{7AC3C504-EA8D-4271-9B20-EFAE715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A27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F7A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A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A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A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A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A2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A2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A2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A2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A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A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A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A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A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A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A2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A27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A27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A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A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A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2026-06-25T09:15:00Z</dcterms:created>
  <dcterms:modified xsi:type="dcterms:W3CDTF">2026-06-25T09:15:00Z</dcterms:modified>
</cp:coreProperties>
</file>