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media/image3.tif" ContentType="image/tiff"/>
  <Override PartName="/word/media/image2.tif" ContentType="image/tiff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Cs/>
          <w:lang w:val="en-US"/>
        </w:rPr>
      </w:pPr>
      <w:r>
        <w:rPr>
          <w:rFonts w:eastAsia="Times New Roman" w:cs="Times New Roman" w:ascii="Times New Roman" w:hAnsi="Times New Roman"/>
          <w:b/>
          <w:bCs/>
          <w:lang w:val="en-US"/>
        </w:rPr>
        <w:t>SUPPLEMENTARY MATERIAL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0"/>
          <w:szCs w:val="20"/>
        </w:rPr>
        <w:t xml:space="preserve">Supplementary Table S1.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Description of </w:t>
      </w: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 xml:space="preserve">Rhizoctonia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-like isolates used for phylogenetic analysis based on the ITS rDNA region, including collection details and GenBank accession numbers.</w:t>
      </w:r>
    </w:p>
    <w:tbl>
      <w:tblPr>
        <w:tblStyle w:val="a0"/>
        <w:tblW w:w="9987" w:type="dxa"/>
        <w:jc w:val="start"/>
        <w:tblInd w:w="-567" w:type="dxa"/>
        <w:tblLayout w:type="fixed"/>
        <w:tblCellMar>
          <w:top w:w="0" w:type="dxa"/>
          <w:start w:w="108" w:type="dxa"/>
          <w:bottom w:w="0" w:type="dxa"/>
          <w:end w:w="108" w:type="dxa"/>
        </w:tblCellMar>
        <w:tblLook w:noHBand="0" w:noVBand="1" w:firstColumn="0" w:lastRow="0" w:lastColumn="0" w:firstRow="0" w:val="0400"/>
      </w:tblPr>
      <w:tblGrid>
        <w:gridCol w:w="1323"/>
        <w:gridCol w:w="3349"/>
        <w:gridCol w:w="1277"/>
        <w:gridCol w:w="2410"/>
        <w:gridCol w:w="1628"/>
      </w:tblGrid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GenBank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Taxonomic assignation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Host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0"/>
                <w:szCs w:val="20"/>
              </w:rPr>
              <w:t>Isolation source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AB122145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AG-k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Allium cepa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mycelium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AB196647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Arachis hypogaea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mycelium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AB196650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Artemisia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AJ427407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AGR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USA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Cucumis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sp.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AF354095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AGQ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Cynodon_Soil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KY075643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Lonicera japonica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KP119764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Lonicera japonica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KP119766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Lonicera japonica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KP119765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Lonicera japonica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OR145521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Cambodia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Manihot esculenta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OR145522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Vietnam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Manihot esculenta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OR145523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Lao PDR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Manihot esculenta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AB286940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 xml:space="preserve">Ceratobasidium 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sp. AG-P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AB290017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AB000019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Rhizoctonia solani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AY154313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Thanatephorus cucumeris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AF354108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Thanatephorus cucumeris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Veracruz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Solanum tuberosum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AF153804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Rhizoctonia solani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Pterostylis acuminata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AB286930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AG-Ba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Rice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AB196659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AG-T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Rosa odorata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AB196653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AG-L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Soil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mycelium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AB000003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Rhizoctonia solani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Soil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AF153800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Rhizoctonia solani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Australia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Soil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AB196649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AG-H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Soil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AB290021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AG-C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Sugar beet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KU255726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leaf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KU319572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leaf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KU255724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KM523668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mycelium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KU319573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leaf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KU310940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KU310941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Theobroma cacao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AB000004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Rhizoctonia solani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U.S.A.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Tobacco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AB198702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</w:t>
            </w: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 xml:space="preserve"> sp. AG-D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Japan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Zoysia japonica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mycelia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MZ159527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Scotomyces subviolaceus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Scotland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MT340869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Heteroacanthella acanthophysa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--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PQ192611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Manihot esculenta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petiole</w:t>
            </w:r>
          </w:p>
        </w:tc>
      </w:tr>
      <w:tr>
        <w:trPr>
          <w:trHeight w:val="170" w:hRule="atLeast"/>
        </w:trPr>
        <w:tc>
          <w:tcPr>
            <w:tcW w:w="1323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PQ192612</w:t>
            </w:r>
          </w:p>
        </w:tc>
        <w:tc>
          <w:tcPr>
            <w:tcW w:w="334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Ceratobasidium theobromae</w:t>
            </w:r>
          </w:p>
        </w:tc>
        <w:tc>
          <w:tcPr>
            <w:tcW w:w="127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Brazil</w:t>
            </w:r>
          </w:p>
        </w:tc>
        <w:tc>
          <w:tcPr>
            <w:tcW w:w="24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i/>
                <w:iCs/>
                <w:color w:val="000000"/>
                <w:sz w:val="20"/>
                <w:szCs w:val="20"/>
              </w:rPr>
              <w:t>Manihot esculenta</w:t>
            </w:r>
          </w:p>
        </w:tc>
        <w:tc>
          <w:tcPr>
            <w:tcW w:w="162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vAlign w:val="center"/>
          </w:tcPr>
          <w:p>
            <w:pPr>
              <w:pStyle w:val="Normal"/>
              <w:spacing w:lineRule="auto" w:line="480" w:before="0" w:after="160"/>
              <w:jc w:val="both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0"/>
                <w:szCs w:val="20"/>
              </w:rPr>
              <w:t>stem</w:t>
            </w:r>
          </w:p>
        </w:tc>
      </w:tr>
    </w:tbl>
    <w:p>
      <w:pPr>
        <w:pStyle w:val="Normal"/>
        <w:spacing w:lineRule="auto" w:line="480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0"/>
          <w:szCs w:val="20"/>
        </w:rPr>
        <w:t>Adapted from Oliveira et al. (2025).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b/>
          <w:bCs/>
          <w:lang w:val="en-US"/>
        </w:rPr>
      </w:pPr>
      <w:r>
        <w:rPr/>
        <w:drawing>
          <wp:inline distT="0" distB="0" distL="0" distR="0">
            <wp:extent cx="5364480" cy="1830705"/>
            <wp:effectExtent l="0" t="0" r="0" b="0"/>
            <wp:docPr id="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5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080" t="23209" r="9978" b="2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83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eastAsia="Times New Roman" w:cs="Times New Roman" w:ascii="times new" w:hAnsi="times new"/>
          <w:b/>
          <w:bCs/>
          <w:sz w:val="24"/>
          <w:szCs w:val="24"/>
        </w:rPr>
        <w:t xml:space="preserve">Figure S1. </w:t>
      </w:r>
      <w:r>
        <w:rPr>
          <w:rFonts w:eastAsia="Times New Roman" w:cs="Times New Roman" w:ascii="times new" w:hAnsi="times new"/>
          <w:sz w:val="24"/>
          <w:szCs w:val="24"/>
        </w:rPr>
        <w:t xml:space="preserve">PCR products amplified using the CWBD-CIAT-F2/R2 primer set from 16 cassava samples analyzed on agarose 1% gel electrophoresis stained with GelRed and visualized under ultraviolet light. </w:t>
      </w:r>
      <w:r>
        <w:rPr>
          <w:rFonts w:eastAsia="Times New Roman" w:cs="Times New Roman" w:ascii="times new" w:hAnsi="times new"/>
          <w:b/>
          <w:bCs/>
          <w:sz w:val="24"/>
          <w:szCs w:val="24"/>
        </w:rPr>
        <w:t>M:</w:t>
      </w:r>
      <w:r>
        <w:rPr>
          <w:rFonts w:eastAsia="Times New Roman" w:cs="Times New Roman" w:ascii="times new" w:hAnsi="times new"/>
          <w:sz w:val="24"/>
          <w:szCs w:val="24"/>
        </w:rPr>
        <w:t xml:space="preserve"> molecular weight marker (1 kb DNA Plus Ladder, Invitrogen); </w:t>
      </w:r>
      <w:r>
        <w:rPr>
          <w:rFonts w:eastAsia="Times New Roman" w:cs="Times New Roman" w:ascii="times new" w:hAnsi="times new"/>
          <w:b/>
          <w:bCs/>
          <w:sz w:val="24"/>
          <w:szCs w:val="24"/>
        </w:rPr>
        <w:t>lanes 1–11:</w:t>
      </w:r>
      <w:r>
        <w:rPr>
          <w:rFonts w:eastAsia="Times New Roman" w:cs="Times New Roman" w:ascii="times new" w:hAnsi="times new"/>
          <w:sz w:val="24"/>
          <w:szCs w:val="24"/>
        </w:rPr>
        <w:t xml:space="preserve"> leaf and stem samples positive for </w:t>
      </w:r>
      <w:r>
        <w:rPr>
          <w:rFonts w:eastAsia="Times New Roman" w:cs="Times New Roman" w:ascii="times new" w:hAnsi="times new"/>
          <w:i/>
          <w:iCs/>
          <w:sz w:val="24"/>
          <w:szCs w:val="24"/>
        </w:rPr>
        <w:t>R. theobromae</w:t>
      </w:r>
      <w:r>
        <w:rPr>
          <w:rFonts w:eastAsia="Times New Roman" w:cs="Times New Roman" w:ascii="times new" w:hAnsi="times new"/>
          <w:sz w:val="24"/>
          <w:szCs w:val="24"/>
        </w:rPr>
        <w:t xml:space="preserve">; </w:t>
      </w:r>
      <w:r>
        <w:rPr>
          <w:rFonts w:eastAsia="Times New Roman" w:cs="Times New Roman" w:ascii="times new" w:hAnsi="times new"/>
          <w:b/>
          <w:bCs/>
          <w:sz w:val="24"/>
          <w:szCs w:val="24"/>
        </w:rPr>
        <w:t>lanes 12–15:</w:t>
      </w:r>
      <w:r>
        <w:rPr>
          <w:rFonts w:eastAsia="Times New Roman" w:cs="Times New Roman" w:ascii="times new" w:hAnsi="times new"/>
          <w:sz w:val="24"/>
          <w:szCs w:val="24"/>
        </w:rPr>
        <w:t xml:space="preserve"> leaf and stem samples positive for </w:t>
      </w:r>
      <w:r>
        <w:rPr>
          <w:rFonts w:eastAsia="Times New Roman" w:cs="Times New Roman" w:ascii="times new" w:hAnsi="times new"/>
          <w:i/>
          <w:iCs/>
          <w:sz w:val="24"/>
          <w:szCs w:val="24"/>
        </w:rPr>
        <w:t>R. theobromae</w:t>
      </w:r>
      <w:r>
        <w:rPr>
          <w:rFonts w:eastAsia="Times New Roman" w:cs="Times New Roman" w:ascii="times new" w:hAnsi="times new"/>
          <w:sz w:val="24"/>
          <w:szCs w:val="24"/>
        </w:rPr>
        <w:t xml:space="preserve"> only by qPCR; </w:t>
      </w:r>
      <w:r>
        <w:rPr>
          <w:rFonts w:eastAsia="Times New Roman" w:cs="Times New Roman" w:ascii="times new" w:hAnsi="times new"/>
          <w:b/>
          <w:bCs/>
          <w:sz w:val="24"/>
          <w:szCs w:val="24"/>
        </w:rPr>
        <w:t>lane 16:</w:t>
      </w:r>
      <w:r>
        <w:rPr>
          <w:rFonts w:eastAsia="Times New Roman" w:cs="Times New Roman" w:ascii="times new" w:hAnsi="times new"/>
          <w:sz w:val="24"/>
          <w:szCs w:val="24"/>
        </w:rPr>
        <w:t xml:space="preserve"> negative control (healthy cassava leaf sample).</w:t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ascii="times new" w:hAnsi="times new"/>
          <w:sz w:val="24"/>
          <w:szCs w:val="24"/>
        </w:rPr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ascii="times new" w:hAnsi="times new"/>
          <w:sz w:val="24"/>
          <w:szCs w:val="24"/>
        </w:rPr>
        <w:drawing>
          <wp:inline distT="0" distB="0" distL="0" distR="0">
            <wp:extent cx="5854700" cy="2925445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954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ascii="times new" w:hAnsi="times new"/>
          <w:sz w:val="24"/>
          <w:szCs w:val="24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582E4D6B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431800" cy="408305"/>
                <wp:effectExtent l="0" t="0" r="0" b="0"/>
                <wp:wrapNone/>
                <wp:docPr id="3" name="Retângul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640" cy="4082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spacing w:lineRule="auto" w:line="480" w:before="0" w:after="0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rFonts w:eastAsia="Times New Roman" w:cs="Times New Roman" w:ascii="Times New Roman" w:hAnsi="Times New Roman"/>
                                <w:b/>
                                <w:color w:val="000000"/>
                                <w:sz w:val="32"/>
                                <w:lang w:val="pt-BR"/>
                              </w:rPr>
                              <w:t>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stroked="f" o:allowincell="f" style="position:absolute;margin-left:0pt;margin-top:1.1pt;width:33.95pt;height:32.1pt;mso-wrap-style:square;v-text-anchor:top;mso-position-horizontal:left;mso-position-horizontal-relative:margin" wp14:anchorId="582E4D6B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dodoquadro"/>
                        <w:spacing w:lineRule="auto" w:line="480" w:before="0" w:after="0"/>
                        <w:rPr>
                          <w:lang w:val="pt-BR"/>
                        </w:rPr>
                      </w:pPr>
                      <w:r>
                        <w:rPr>
                          <w:rFonts w:eastAsia="Times New Roman" w:cs="Times New Roman" w:ascii="Times New Roman" w:hAnsi="Times New Roman"/>
                          <w:b/>
                          <w:color w:val="000000"/>
                          <w:sz w:val="32"/>
                          <w:lang w:val="pt-BR"/>
                        </w:rPr>
                        <w:t>E</w:t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inline distT="0" distB="0" distL="0" distR="0">
            <wp:extent cx="4073525" cy="1860550"/>
            <wp:effectExtent l="0" t="0" r="0" b="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733" t="179909" r="190753" b="18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bookmarkStart w:id="0" w:name="_heading=h.436v39j2gt0m"/>
      <w:bookmarkEnd w:id="0"/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 xml:space="preserve">Supplemental Figure S2. 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Evaluation of the efficiency and specificity of the qPCR system using the </w:t>
      </w:r>
      <w:r>
        <w:rPr>
          <w:rFonts w:eastAsia="Times New Roman" w:cs="Times New Roman" w:ascii="times new" w:hAnsi="times new"/>
          <w:i/>
          <w:iCs/>
          <w:color w:val="000000"/>
          <w:sz w:val="24"/>
          <w:szCs w:val="24"/>
        </w:rPr>
        <w:t>β-tubulin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endogenous control.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(A)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Regression curve for leaf samples;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(B)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Regression curve for stem samples;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(C)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and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(D)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Boxplots representing the number of copies detected in leaves and stems, respectively;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(E)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Heat map representing the average number of copies obtained from ΔCt values.</w:t>
      </w:r>
    </w:p>
    <w:p>
      <w:pPr>
        <w:pStyle w:val="Normal"/>
        <w:spacing w:lineRule="auto" w:line="480" w:before="0" w:after="0"/>
        <w:jc w:val="both"/>
        <w:rPr>
          <w:rFonts w:ascii="times new" w:hAnsi="times new" w:eastAsia="Times New Roman" w:cs="Times New Roman"/>
          <w:color w:val="000000"/>
          <w:sz w:val="24"/>
          <w:szCs w:val="24"/>
        </w:rPr>
      </w:pPr>
      <w:r>
        <w:rPr>
          <w:rFonts w:eastAsia="Times New Roman" w:cs="Times New Roman" w:ascii="times new" w:hAnsi="times new"/>
          <w:color w:val="000000"/>
          <w:sz w:val="24"/>
          <w:szCs w:val="24"/>
        </w:rPr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ascii="times new" w:hAnsi="times new"/>
          <w:sz w:val="24"/>
          <w:szCs w:val="24"/>
        </w:rPr>
        <w:drawing>
          <wp:inline distT="0" distB="0" distL="0" distR="0">
            <wp:extent cx="3328035" cy="4154805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5494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415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eastAsia="Times New Roman" w:cs="Times New Roman" w:ascii="times new" w:hAnsi="times new"/>
          <w:b/>
          <w:bCs/>
          <w:sz w:val="24"/>
          <w:szCs w:val="24"/>
        </w:rPr>
        <w:t xml:space="preserve">Figure S3. </w:t>
      </w:r>
      <w:r>
        <w:rPr>
          <w:rFonts w:eastAsia="Times New Roman" w:cs="Times New Roman" w:ascii="times new" w:hAnsi="times new"/>
          <w:sz w:val="24"/>
          <w:szCs w:val="24"/>
        </w:rPr>
        <w:t xml:space="preserve">Dissociation curve (melt curve) analysis of the qPCR system. The presence of a single, sharp peak indicates high specificity of the amplification and the absence of non-specific products or primer-dimers, confirming the reliability of the </w:t>
      </w:r>
      <w:r>
        <w:rPr>
          <w:rFonts w:eastAsia="Times New Roman" w:cs="Times New Roman" w:ascii="times new" w:hAnsi="times new"/>
          <w:i/>
          <w:iCs/>
          <w:sz w:val="24"/>
          <w:szCs w:val="24"/>
        </w:rPr>
        <w:t>CaMK/CaMKL</w:t>
      </w:r>
      <w:r>
        <w:rPr>
          <w:rFonts w:eastAsia="Times New Roman" w:cs="Times New Roman" w:ascii="times new" w:hAnsi="times new"/>
          <w:sz w:val="24"/>
          <w:szCs w:val="24"/>
        </w:rPr>
        <w:t xml:space="preserve"> probe-based assay.</w:t>
      </w:r>
    </w:p>
    <w:p>
      <w:pPr>
        <w:pStyle w:val="Normal"/>
        <w:spacing w:lineRule="auto" w:line="480" w:before="0" w:after="0"/>
        <w:jc w:val="both"/>
        <w:rPr>
          <w:rFonts w:ascii="times new" w:hAnsi="times new" w:eastAsia="Times New Roman" w:cs="Times New Roman"/>
          <w:sz w:val="24"/>
          <w:szCs w:val="24"/>
        </w:rPr>
      </w:pPr>
      <w:r>
        <w:rPr>
          <w:rFonts w:eastAsia="Times New Roman" w:cs="Times New Roman" w:ascii="times new" w:hAnsi="times new"/>
          <w:sz w:val="24"/>
          <w:szCs w:val="24"/>
        </w:rPr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ascii="times new" w:hAnsi="times new"/>
          <w:sz w:val="24"/>
          <w:szCs w:val="24"/>
        </w:rPr>
        <w:drawing>
          <wp:inline distT="0" distB="0" distL="0" distR="0">
            <wp:extent cx="5662930" cy="4004310"/>
            <wp:effectExtent l="0" t="0" r="0" b="0"/>
            <wp:docPr id="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00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480" w:before="0" w:after="0"/>
        <w:jc w:val="both"/>
        <w:rPr>
          <w:rFonts w:ascii="times new" w:hAnsi="times new"/>
          <w:sz w:val="24"/>
          <w:szCs w:val="24"/>
        </w:rPr>
      </w:pP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 xml:space="preserve">Figure S4. 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Map of </w:t>
      </w:r>
      <w:r>
        <w:rPr>
          <w:rFonts w:eastAsia="Times New Roman" w:cs="Times New Roman" w:ascii="times new" w:hAnsi="times new"/>
          <w:i/>
          <w:iCs/>
          <w:color w:val="000000"/>
          <w:sz w:val="24"/>
          <w:szCs w:val="24"/>
        </w:rPr>
        <w:t>Rhizoctonia theobromae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incidence in cassava sample’s locations</w:t>
      </w:r>
      <w:r>
        <w:rPr>
          <w:rFonts w:eastAsia="Times New Roman" w:cs="Times New Roman" w:ascii="times new" w:hAnsi="times new"/>
          <w:sz w:val="24"/>
          <w:szCs w:val="24"/>
        </w:rPr>
        <w:t xml:space="preserve"> 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collected </w:t>
      </w:r>
      <w:r>
        <w:rPr>
          <w:rFonts w:eastAsia="Times New Roman" w:cs="Times New Roman" w:ascii="times new" w:hAnsi="times new"/>
          <w:sz w:val="24"/>
          <w:szCs w:val="24"/>
        </w:rPr>
        <w:t>at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villages in the Oiapoque region (Kuai-Kuai, Ariramba, Galibí, Lençol, Ahumã, Anawerá, and Yanawaka). The red dots indicate the collection sites. The pie charts represent the results of molecular detection </w:t>
      </w:r>
      <w:r>
        <w:rPr>
          <w:rFonts w:eastAsia="Times New Roman" w:cs="Times New Roman" w:ascii="times new" w:hAnsi="times new"/>
          <w:sz w:val="24"/>
          <w:szCs w:val="24"/>
        </w:rPr>
        <w:t>by both methods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: dark blue (leaf, conventional PCR); pink (stem, conventional PCR); yellow (leaf, qPCR); and light blue (stem, qPCR). Column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A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corresponds to the leaf samples, and column </w:t>
      </w:r>
      <w:r>
        <w:rPr>
          <w:rFonts w:eastAsia="Times New Roman" w:cs="Times New Roman" w:ascii="times new" w:hAnsi="times new"/>
          <w:b/>
          <w:bCs/>
          <w:color w:val="000000"/>
          <w:sz w:val="24"/>
          <w:szCs w:val="24"/>
        </w:rPr>
        <w:t>B</w:t>
      </w:r>
      <w:r>
        <w:rPr>
          <w:rFonts w:eastAsia="Times New Roman" w:cs="Times New Roman" w:ascii="times new" w:hAnsi="times new"/>
          <w:color w:val="000000"/>
          <w:sz w:val="24"/>
          <w:szCs w:val="24"/>
        </w:rPr>
        <w:t xml:space="preserve"> corresponds to the stem samples. The green area represents the Oiapoque municipality.</w:t>
      </w:r>
    </w:p>
    <w:sectPr>
      <w:footerReference w:type="even" r:id="rId7"/>
      <w:footerReference w:type="default" r:id="rId8"/>
      <w:footerReference w:type="first" r:id="rId9"/>
      <w:type w:val="nextPage"/>
      <w:pgSz w:w="11906" w:h="16838"/>
      <w:pgMar w:left="1701" w:right="1701" w:gutter="0" w:header="0" w:top="1417" w:footer="708" w:bottom="1417"/>
      <w:lnNumType w:countBy="1" w:restart="continuous" w:distance="283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Calibri">
    <w:charset w:val="01" w:characterSet="utf-8"/>
    <w:family w:val="roman"/>
    <w:pitch w:val="variable"/>
  </w:font>
  <w:font w:name="Calibri Light">
    <w:charset w:val="01" w:characterSet="utf-8"/>
    <w:family w:val="roman"/>
    <w:pitch w:val="variable"/>
  </w:font>
  <w:font w:name="Segoe UI">
    <w:charset w:val="01" w:characterSet="utf-8"/>
    <w:family w:val="swiss"/>
    <w:pitch w:val="variable"/>
  </w:font>
  <w:font w:name="Liberation Sans">
    <w:altName w:val="Arial"/>
    <w:charset w:val="01" w:characterSet="utf-8"/>
    <w:family w:val="swiss"/>
    <w:pitch w:val="variable"/>
  </w:font>
  <w:font w:name="Times New Roman">
    <w:charset w:val="01" w:characterSet="utf-8"/>
    <w:family w:val="roman"/>
    <w:pitch w:val="variable"/>
  </w:font>
  <w:font w:name="times new"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id w:val="-1930033789"/>
      <w:docPartObj>
        <w:docPartGallery w:val="Page Numbers (Bottom of Page)"/>
        <w:docPartUnique w:val="true"/>
      </w:docPartObj>
    </w:sdtPr>
    <w:sdtContent>
      <w:p>
        <w:pPr>
          <w:pStyle w:val="Footer"/>
          <w:jc w:val="end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id w:val="-1930033789"/>
      <w:docPartObj>
        <w:docPartGallery w:val="Page Numbers (Bottom of Page)"/>
        <w:docPartUnique w:val="true"/>
      </w:docPartObj>
    </w:sdtPr>
    <w:sdtContent>
      <w:p>
        <w:pPr>
          <w:pStyle w:val="Footer"/>
          <w:jc w:val="end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  <w:p>
    <w:pPr>
      <w:pStyle w:val="Footer"/>
      <w:rPr/>
    </w:pPr>
    <w:r>
      <w:rPr/>
    </w:r>
  </w:p>
</w:ftr>
</file>

<file path=word/settings.xml><?xml version="1.0" encoding="utf-8"?>
<w:settings xmlns:w="http://schemas.openxmlformats.org/wordprocessingml/2006/main">
  <w:zoom w:percent="8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70e02"/>
    <w:pPr>
      <w:widowControl/>
      <w:bidi w:val="0"/>
      <w:spacing w:lineRule="auto" w:line="278" w:before="0" w:after="160"/>
      <w:jc w:val="start"/>
    </w:pPr>
    <w:rPr>
      <w:rFonts w:ascii="Calibri" w:hAnsi="Calibri" w:eastAsia="Calibri" w:cs=""/>
      <w:color w:val="auto"/>
      <w:kern w:val="2"/>
      <w:sz w:val="24"/>
      <w:szCs w:val="24"/>
      <w:lang w:val="en-US" w:eastAsia="en-US" w:bidi="ar-SA"/>
      <w14:ligatures w14:val="standardContextual"/>
    </w:rPr>
  </w:style>
  <w:style w:type="paragraph" w:styleId="Heading1">
    <w:name w:val="heading 1"/>
    <w:basedOn w:val="Normal"/>
    <w:next w:val="Normal"/>
    <w:link w:val="Ttulo1Char"/>
    <w:uiPriority w:val="9"/>
    <w:qFormat/>
    <w:rsid w:val="0067752d"/>
    <w:pPr>
      <w:keepNext w:val="true"/>
      <w:keepLines/>
      <w:spacing w:before="360" w:after="80"/>
      <w:outlineLvl w:val="0"/>
    </w:pPr>
    <w:rPr>
      <w:rFonts w:ascii="Calibri Light" w:hAnsi="Calibri Light" w:eastAsia="等线 Light" w:cs="" w:asciiTheme="majorHAnsi" w:cstheme="majorBidi" w:eastAsiaTheme="majorEastAsia" w:hAnsiTheme="majorHAnsi"/>
      <w:color w:themeColor="accent1" w:themeShade="bf" w:val="2F5496"/>
      <w:sz w:val="40"/>
      <w:szCs w:val="4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mphasis">
    <w:name w:val="Emphasis"/>
    <w:basedOn w:val="DefaultParagraphFont"/>
    <w:uiPriority w:val="20"/>
    <w:qFormat/>
    <w:rsid w:val="0067752d"/>
    <w:rPr>
      <w:i/>
      <w:iCs/>
    </w:rPr>
  </w:style>
  <w:style w:type="character" w:styleId="author" w:customStyle="1">
    <w:name w:val="author"/>
    <w:basedOn w:val="DefaultParagraphFont"/>
    <w:qFormat/>
    <w:rsid w:val="0067752d"/>
    <w:rPr/>
  </w:style>
  <w:style w:type="character" w:styleId="Hyperlink">
    <w:name w:val="Hyperlink"/>
    <w:basedOn w:val="DefaultParagraphFont"/>
    <w:uiPriority w:val="99"/>
    <w:unhideWhenUsed/>
    <w:rsid w:val="0067752d"/>
    <w:rPr>
      <w:color w:themeColor="hyperlink" w:val="0563C1"/>
      <w:u w:val="single"/>
    </w:rPr>
  </w:style>
  <w:style w:type="character" w:styleId="pubyear" w:customStyle="1">
    <w:name w:val="pubyear"/>
    <w:basedOn w:val="DefaultParagraphFont"/>
    <w:qFormat/>
    <w:rsid w:val="0067752d"/>
    <w:rPr/>
  </w:style>
  <w:style w:type="character" w:styleId="articletitle" w:customStyle="1">
    <w:name w:val="articletitle"/>
    <w:basedOn w:val="DefaultParagraphFont"/>
    <w:qFormat/>
    <w:rsid w:val="0067752d"/>
    <w:rPr/>
  </w:style>
  <w:style w:type="character" w:styleId="vol" w:customStyle="1">
    <w:name w:val="vol"/>
    <w:basedOn w:val="DefaultParagraphFont"/>
    <w:qFormat/>
    <w:rsid w:val="0067752d"/>
    <w:rPr/>
  </w:style>
  <w:style w:type="character" w:styleId="citedissue" w:customStyle="1">
    <w:name w:val="citedissue"/>
    <w:basedOn w:val="DefaultParagraphFont"/>
    <w:qFormat/>
    <w:rsid w:val="0067752d"/>
    <w:rPr/>
  </w:style>
  <w:style w:type="character" w:styleId="whitespace-normal" w:customStyle="1">
    <w:name w:val="whitespace-normal"/>
    <w:basedOn w:val="DefaultParagraphFont"/>
    <w:qFormat/>
    <w:rsid w:val="0067752d"/>
    <w:rPr/>
  </w:style>
  <w:style w:type="character" w:styleId="Ttulo1Char" w:customStyle="1">
    <w:name w:val="Título 1 Char"/>
    <w:basedOn w:val="DefaultParagraphFont"/>
    <w:uiPriority w:val="9"/>
    <w:qFormat/>
    <w:rsid w:val="0067752d"/>
    <w:rPr>
      <w:rFonts w:ascii="Calibri Light" w:hAnsi="Calibri Light" w:eastAsia="等线 Light" w:cs="" w:asciiTheme="majorHAnsi" w:cstheme="majorBidi" w:eastAsiaTheme="majorEastAsia" w:hAnsiTheme="majorHAnsi"/>
      <w:color w:themeColor="accent1" w:themeShade="bf" w:val="2F5496"/>
      <w:kern w:val="2"/>
      <w:sz w:val="40"/>
      <w:szCs w:val="40"/>
      <w:lang w:val="en-US"/>
      <w14:ligatures w14:val="standardContextual"/>
    </w:rPr>
  </w:style>
  <w:style w:type="character" w:styleId="Strong">
    <w:name w:val="Strong"/>
    <w:basedOn w:val="DefaultParagraphFont"/>
    <w:uiPriority w:val="22"/>
    <w:qFormat/>
    <w:rsid w:val="0067752d"/>
    <w:rPr>
      <w:b/>
      <w:bCs/>
    </w:rPr>
  </w:style>
  <w:style w:type="character" w:styleId="CabealhoChar" w:customStyle="1">
    <w:name w:val="Cabeçalho Char"/>
    <w:basedOn w:val="DefaultParagraphFont"/>
    <w:uiPriority w:val="99"/>
    <w:qFormat/>
    <w:rsid w:val="00fd2489"/>
    <w:rPr>
      <w:kern w:val="2"/>
      <w:sz w:val="24"/>
      <w:szCs w:val="24"/>
      <w14:ligatures w14:val="standardContextual"/>
    </w:rPr>
  </w:style>
  <w:style w:type="character" w:styleId="RodapChar" w:customStyle="1">
    <w:name w:val="Rodapé Char"/>
    <w:basedOn w:val="DefaultParagraphFont"/>
    <w:uiPriority w:val="99"/>
    <w:qFormat/>
    <w:rsid w:val="00fd2489"/>
    <w:rPr>
      <w:kern w:val="2"/>
      <w:sz w:val="24"/>
      <w:szCs w:val="24"/>
      <w14:ligatures w14:val="standardContextual"/>
    </w:rPr>
  </w:style>
  <w:style w:type="character" w:styleId="LineNumber">
    <w:name w:val="line number"/>
    <w:basedOn w:val="DefaultParagraphFont"/>
    <w:uiPriority w:val="99"/>
    <w:semiHidden/>
    <w:unhideWhenUsed/>
    <w:rsid w:val="00fd2489"/>
    <w:rPr/>
  </w:style>
  <w:style w:type="character" w:styleId="PlaceholderText">
    <w:name w:val="Placeholder Text"/>
    <w:basedOn w:val="DefaultParagraphFont"/>
    <w:uiPriority w:val="99"/>
    <w:semiHidden/>
    <w:qFormat/>
    <w:rsid w:val="000d2d1e"/>
    <w:rPr>
      <w:color w:val="666666"/>
    </w:rPr>
  </w:style>
  <w:style w:type="character" w:styleId="MenoPendente1" w:customStyle="1">
    <w:name w:val="Menção Pendente1"/>
    <w:basedOn w:val="DefaultParagraphFont"/>
    <w:uiPriority w:val="99"/>
    <w:semiHidden/>
    <w:unhideWhenUsed/>
    <w:qFormat/>
    <w:rsid w:val="00553ba5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654eb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semiHidden/>
    <w:qFormat/>
    <w:rsid w:val="004654eb"/>
    <w:rPr>
      <w:kern w:val="2"/>
      <w:sz w:val="20"/>
      <w:szCs w:val="20"/>
      <w14:ligatures w14:val="standardContextual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4654eb"/>
    <w:rPr>
      <w:rFonts w:ascii="Segoe UI" w:hAnsi="Segoe UI" w:cs="Segoe UI"/>
      <w:kern w:val="2"/>
      <w:sz w:val="18"/>
      <w:szCs w:val="18"/>
      <w14:ligatures w14:val="standardContextual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sid w:val="003132aa"/>
    <w:rPr>
      <w:b/>
      <w:bCs/>
      <w:kern w:val="2"/>
      <w:sz w:val="20"/>
      <w:szCs w:val="20"/>
      <w14:ligatures w14:val="standardContextua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c60072"/>
    <w:pPr/>
    <w:rPr>
      <w:rFonts w:ascii="Times New Roman" w:hAnsi="Times New Roman" w:cs="Times New Roman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Normal"/>
    <w:link w:val="CabealhoChar"/>
    <w:uiPriority w:val="99"/>
    <w:unhideWhenUsed/>
    <w:rsid w:val="00fd2489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RodapChar"/>
    <w:uiPriority w:val="99"/>
    <w:unhideWhenUsed/>
    <w:rsid w:val="00fd2489"/>
    <w:pPr>
      <w:tabs>
        <w:tab w:val="clear" w:pos="708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CommentText">
    <w:name w:val="annotation text"/>
    <w:basedOn w:val="Normal"/>
    <w:link w:val="TextodecomentrioChar"/>
    <w:uiPriority w:val="99"/>
    <w:semiHidden/>
    <w:unhideWhenUsed/>
    <w:rsid w:val="004654eb"/>
    <w:pPr>
      <w:spacing w:lineRule="auto" w:line="240"/>
    </w:pPr>
    <w:rPr>
      <w:sz w:val="20"/>
      <w:szCs w:val="20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654eb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/>
    <w:unhideWhenUsed/>
    <w:qFormat/>
    <w:rsid w:val="003132aa"/>
    <w:pPr/>
    <w:rPr>
      <w:b/>
      <w:bCs/>
    </w:rPr>
  </w:style>
  <w:style w:type="paragraph" w:styleId="Revision">
    <w:name w:val="Revision"/>
    <w:uiPriority w:val="99"/>
    <w:semiHidden/>
    <w:qFormat/>
    <w:rsid w:val="00227fdd"/>
    <w:pPr>
      <w:widowControl/>
      <w:bidi w:val="0"/>
      <w:spacing w:lineRule="auto" w:line="240" w:before="0" w:after="0"/>
      <w:jc w:val="start"/>
    </w:pPr>
    <w:rPr>
      <w:rFonts w:ascii="Calibri" w:hAnsi="Calibri" w:eastAsia="Calibri" w:cs=""/>
      <w:color w:val="auto"/>
      <w:kern w:val="2"/>
      <w:sz w:val="24"/>
      <w:szCs w:val="24"/>
      <w:lang w:val="en-US" w:eastAsia="en-US" w:bidi="ar-SA"/>
      <w14:ligatures w14:val="standardContextual"/>
    </w:rPr>
  </w:style>
  <w:style w:type="paragraph" w:styleId="Contedodoquadro">
    <w:name w:val="Conteúdo do quadro"/>
    <w:basedOn w:val="Normal"/>
    <w:qFormat/>
    <w:pPr/>
    <w:rPr/>
  </w:style>
  <w:style w:type="numbering" w:styleId="Semlista" w:default="1">
    <w:name w:val="Sem lista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tif"/><Relationship Id="rId4" Type="http://schemas.openxmlformats.org/officeDocument/2006/relationships/image" Target="media/image3.tif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Application>LibreOffice/26.2.3.2$Linux_X86_64 LibreOffice_project/d4d5ed47b6084125f28d269a5650105d54dde034</Application>
  <AppVersion>15.0000</AppVersion>
  <Pages>6</Pages>
  <Words>561</Words>
  <Characters>3667</Characters>
  <CharactersWithSpaces>4023</CharactersWithSpaces>
  <Paragraphs>209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2026-02-13T17:21:00Z</dcterms:created>
  <dc:creator>Vanessa Pierote</dc:creator>
  <dc:description/>
  <dc:language>pt-BR</dc:language>
  <cp:lastModifiedBy/>
  <dcterms:modified xsi:type="dcterms:W3CDTF">2026-05-20T14:26:37Z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