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CA3" w:rsidRDefault="00477707">
      <w:pPr>
        <w:jc w:val="center"/>
      </w:pPr>
      <w:r>
        <w:rPr>
          <w:b/>
          <w:sz w:val="28"/>
        </w:rPr>
        <w:t>STROBE Checklist</w:t>
      </w:r>
    </w:p>
    <w:p w:rsidR="00BE4CA3" w:rsidRDefault="00477707">
      <w:pPr>
        <w:jc w:val="center"/>
      </w:pPr>
      <w:r>
        <w:rPr>
          <w:i/>
        </w:rPr>
        <w:t>Strengthening the Reporting of Observational Studies in Epidemiology</w:t>
      </w:r>
    </w:p>
    <w:p w:rsidR="00BE4CA3" w:rsidRDefault="00477707">
      <w:pPr>
        <w:spacing w:after="0"/>
      </w:pPr>
      <w:r>
        <w:rPr>
          <w:b/>
        </w:rPr>
        <w:t xml:space="preserve">Study type: </w:t>
      </w:r>
      <w:r>
        <w:t>Prospective observational clinical study</w:t>
      </w:r>
    </w:p>
    <w:p w:rsidR="00BE4CA3" w:rsidRDefault="00477707">
      <w:pPr>
        <w:spacing w:after="0"/>
      </w:pPr>
      <w:r>
        <w:rPr>
          <w:b/>
        </w:rPr>
        <w:t xml:space="preserve">Journal: </w:t>
      </w:r>
      <w:r>
        <w:t>BMC Anesthesiology</w:t>
      </w:r>
    </w:p>
    <w:p w:rsidR="00BE4CA3" w:rsidRPr="006F1CDA" w:rsidRDefault="00477707" w:rsidP="006F1CDA">
      <w:pPr>
        <w:rPr>
          <w:rFonts w:eastAsia="Times New Roman" w:cs="Arial"/>
          <w:szCs w:val="18"/>
          <w:lang w:val="tr-TR" w:eastAsia="tr-TR"/>
        </w:rPr>
      </w:pPr>
      <w:r>
        <w:rPr>
          <w:b/>
        </w:rPr>
        <w:t xml:space="preserve">Manuscript: </w:t>
      </w:r>
      <w:r>
        <w:t>P</w:t>
      </w:r>
      <w:bookmarkStart w:id="0" w:name="_GoBack"/>
      <w:bookmarkEnd w:id="0"/>
      <w:r>
        <w:t xml:space="preserve">redictive Model for Monitor-Independent TCI Propofol Induction Based on Loss-of-Consciousness </w:t>
      </w:r>
      <w:r w:rsidRPr="006F1CDA">
        <w:rPr>
          <w:rFonts w:cs="Arial"/>
          <w:szCs w:val="18"/>
        </w:rPr>
        <w:t xml:space="preserve">Concentration: A </w:t>
      </w:r>
      <w:r w:rsidR="006F1CDA" w:rsidRPr="006F1CDA">
        <w:rPr>
          <w:rFonts w:eastAsia="Times New Roman" w:cs="Arial"/>
          <w:szCs w:val="18"/>
          <w:lang w:val="tr-TR" w:eastAsia="tr-TR"/>
        </w:rPr>
        <w:t>BIS-Guided</w:t>
      </w:r>
      <w:r w:rsidR="006F1CDA" w:rsidRPr="006F1CDA">
        <w:rPr>
          <w:rFonts w:eastAsia="Times New Roman" w:cs="Arial"/>
          <w:szCs w:val="18"/>
          <w:lang w:val="tr-TR" w:eastAsia="tr-TR"/>
        </w:rPr>
        <w:t xml:space="preserve"> </w:t>
      </w:r>
      <w:r w:rsidRPr="006F1CDA">
        <w:rPr>
          <w:rFonts w:cs="Arial"/>
          <w:szCs w:val="18"/>
        </w:rPr>
        <w:t>Prospective Observational Study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93"/>
        <w:gridCol w:w="959"/>
        <w:gridCol w:w="3587"/>
        <w:gridCol w:w="6150"/>
        <w:gridCol w:w="2471"/>
      </w:tblGrid>
      <w:tr w:rsidR="00BE4CA3">
        <w:trPr>
          <w:cantSplit/>
          <w:tblHeader/>
          <w:jc w:val="center"/>
        </w:trPr>
        <w:tc>
          <w:tcPr>
            <w:tcW w:w="1656" w:type="dxa"/>
            <w:shd w:val="clear" w:color="auto" w:fill="D9EAF7"/>
          </w:tcPr>
          <w:p w:rsidR="00BE4CA3" w:rsidRDefault="00477707">
            <w:r>
              <w:rPr>
                <w:b/>
                <w:sz w:val="15"/>
              </w:rPr>
              <w:t>Section</w:t>
            </w:r>
          </w:p>
        </w:tc>
        <w:tc>
          <w:tcPr>
            <w:tcW w:w="792" w:type="dxa"/>
            <w:shd w:val="clear" w:color="auto" w:fill="D9EAF7"/>
          </w:tcPr>
          <w:p w:rsidR="00BE4CA3" w:rsidRDefault="00477707">
            <w:r>
              <w:rPr>
                <w:b/>
                <w:sz w:val="15"/>
              </w:rPr>
              <w:t>Item</w:t>
            </w:r>
          </w:p>
        </w:tc>
        <w:tc>
          <w:tcPr>
            <w:tcW w:w="3816" w:type="dxa"/>
            <w:shd w:val="clear" w:color="auto" w:fill="D9EAF7"/>
          </w:tcPr>
          <w:p w:rsidR="00BE4CA3" w:rsidRDefault="00477707">
            <w:r>
              <w:rPr>
                <w:b/>
                <w:sz w:val="15"/>
              </w:rPr>
              <w:t>STROBE recommendation</w:t>
            </w:r>
          </w:p>
        </w:tc>
        <w:tc>
          <w:tcPr>
            <w:tcW w:w="6624" w:type="dxa"/>
            <w:shd w:val="clear" w:color="auto" w:fill="D9EAF7"/>
          </w:tcPr>
          <w:p w:rsidR="00BE4CA3" w:rsidRDefault="00477707">
            <w:r>
              <w:rPr>
                <w:b/>
                <w:sz w:val="15"/>
              </w:rPr>
              <w:t>Reported in this manuscript</w:t>
            </w:r>
          </w:p>
        </w:tc>
        <w:tc>
          <w:tcPr>
            <w:tcW w:w="2592" w:type="dxa"/>
            <w:shd w:val="clear" w:color="auto" w:fill="D9EAF7"/>
          </w:tcPr>
          <w:p w:rsidR="00BE4CA3" w:rsidRDefault="00477707">
            <w:r>
              <w:rPr>
                <w:b/>
                <w:sz w:val="15"/>
              </w:rPr>
              <w:t>Location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Title and abstract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1a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Indicate the study design with a commonly used term in the title or abstract.</w:t>
            </w:r>
          </w:p>
        </w:tc>
        <w:tc>
          <w:tcPr>
            <w:tcW w:w="6624" w:type="dxa"/>
          </w:tcPr>
          <w:p w:rsidR="00BE4CA3" w:rsidRPr="00477707" w:rsidRDefault="0047770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The title includes “A Prospective Observational Study”.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1 (Title page)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Title and abstract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1b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Provide an informative and balanced summary of what was done and what was found.</w:t>
            </w:r>
          </w:p>
        </w:tc>
        <w:tc>
          <w:tcPr>
            <w:tcW w:w="6624" w:type="dxa"/>
          </w:tcPr>
          <w:p w:rsidR="00BE4CA3" w:rsidRPr="00477707" w:rsidRDefault="00477707">
            <w:pPr>
              <w:rPr>
                <w:rFonts w:ascii="Times New Roman" w:eastAsia="Times New Roman" w:hAnsi="Times New Roman"/>
                <w:sz w:val="15"/>
                <w:szCs w:val="15"/>
              </w:rPr>
            </w:pPr>
            <w:r>
              <w:rPr>
                <w:sz w:val="15"/>
                <w:szCs w:val="15"/>
              </w:rPr>
              <w:t>Structured abstract including Background, Methods, Results, Conclusions, and Trial registration. Trial registration is reported as “Not applicable” because this was a prospective observational study with no patient allocation to treatment groups.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2 (Abstract)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Introduction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2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Explain the scientific background and rationale for the investigation.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The Background explains the clinical need for individualized TCI induction, the limitations of fixed effect-site targets because of PK/PD variability, and the potential role of LOC-P as a clinical anchor.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3 (Background)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Introduction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3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State specific objectives, including any prespecified hypotheses.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The primary aim is to evaluate whether LOC-P predicts INT-P and to derive a practical dosing formula. Secondary outcomes include induction timing, haemodynamic stability, adverse events, and induction drug doses.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3 (Background); p. 4–5 (Methods: Outcomes)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Methods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4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Present key elements of study design early in the paper.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The study is described as a single-centre prospective observational study conducted according to the Declaration of Helsinki and reported in accordance with STROBE.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3 (Methods: Study Design and Oversight)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Methods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5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Describe the setting, locations, and relevant dates, including periods of recruitment, exposure, follow-up, and data collection.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The study was conducted in the operating theatres of Ankara University İbni Sina Hospital, Ankara, Türkiye, between June 2021 and April 2022.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3–4 (Methods: Study Design and Oversight; Setting and Participants)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Methods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6a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Give eligibility criteria, and the sources and methods of selection of participants.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Adults aged 18–65 years with ASA physical status I–II scheduled for elective non-cardiac surgery under general anaesthesia were assessed. Exclusion criteria included emergency surgery, ASA ≥ III, age outside the specified range, cognitive impairment or hearing loss interfering with LOC assessment, allergy to study drugs, TOF count &gt;0 at intubation criteria, and lack of informed consent.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4 (Methods: Setting and Participants; Exclusion Criteria)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Methods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6b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For matched studies, give matching criteria and number of exposed and unexposed.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Not applicable; this was not a matched study and did not include exposed/unexposed groups.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Not applicable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Methods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7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Clearly define all outcomes, exposures, predictors, potential confounders, and effect modifiers.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The primary outcome was the relationship between LOC-P and INT-P. Secondary outcomes were induction-to-intubation time, peri-intubation MAP/HR/BIS values, hypotension, bradycardia, haemodynamic response to intubation, and total propofol/remifentanil induction doses. Definitions of hypotension, bradycardia, and haemodynamic response were prespecified.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4–5 (Methods: Outcomes)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Methods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8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For each variable of interest, give sources of data and details of methods of assessment. Describe comparability of assessment methods if more than one group.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Standard monitoring, BIS VISTA, neuromuscular monitoring, propofol TCI using the Schnider model, and remifentanil TCI using the Minto model are described. LOC-P was recorded at loss of response to verbal command. INT-P was recorded when BIS reached 50 and remained stable for ≥30 s. Intubation was performed only with TOF count of zero.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4 (Methods: Monitoring and Anaesthesia)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Methods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9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Describe any efforts to address potential sources of bias.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The protocol used standardized induction, fixed remifentanil Ce, predefined titration increments, predefined outcome thresholds, TOF-based intubation readiness, a priori exclusion of artefact-affected recordings, and complete-case analysis. Limitations related to single-investigator LOC assessment, observational design, and residual confounding are acknowledged.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4–5 (Methods); p. 10–11 (Discussion: Limitations)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Methods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10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Explain how the study size was arrived at.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Sample size was calculated for Pearson correlation using a pilot study of 31 patients showing r = 0.881 and R² = 0.776. A sample of 128 patients provided &gt;99% power to detect r ≥ 0.80 at α = 0.05, two-tailed.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3 (Methods: Study Design and Oversight)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Methods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11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Explain how quantitative variables were handled in the analyses. If applicable, describe groupings and why they were chosen.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Continuous variables were summarized as mean ± SD or median (IQR), as appropriate; categorical variables as n (%). LOC-P and INT-P were analysed as continuous variables. Haemodynamic changes were assessed over prespecified time points.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5 (Methods: Statistical Analysis)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Methods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12a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Describe all statistical methods, including those used to control for confounding.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Normality was assessed using Shapiro-Wilk test. Pearson correlation and linear regression assessed the relationship between LOC-P and INT-P. Repeated-measures ANOVA assessed haemodynamic changes over time, with Mauchly’s test, Greenhouse-Geisser correction when needed, and Bonferroni correction for pairwise comparisons.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5 (Methods: Statistical Analysis)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lastRenderedPageBreak/>
              <w:t>Methods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12b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Describe any methods used to examine subgroups and interactions.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No subgroup or interaction analyses were prespecified or performed.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5 (Methods: Statistical Analysis)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Methods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12c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Explain how missing data were addressed.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No missing data were observed for the primary variables; analyses were conducted as complete-case.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4–5 (Methods: Monitoring and Anaesthesia; Statistical Analysis)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Methods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12d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If applicable, explain how loss to follow-up was addressed.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Not applicable; this was a single-session induction study without follow-up beyond the peri-intubation measurement period.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Not applicable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Methods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12e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Describe any sensitivity analyses.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No sensitivity analyses were prespecified or performed.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5 (Methods: Statistical Analysis)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Results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13a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Report numbers of individuals at each stage of study.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A total of 135 patients were enrolled. Seven patients with TOF count &gt;0 at the time intubation criteria were met were excluded, leaving 128 patients for the final analysis.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5–6 (Results: Patient Characteristics)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Results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13b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Give reasons for non-participation at each stage.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The reason for exclusion was TOF count &gt;0 at the time intubation criteria were met.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5–6 (Results: Patient Characteristics)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Results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13c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Consider use of a flow diagram.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A formal flow diagram is not included; participant flow is described in text.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5–6 (Results: Patient Characteristics)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Results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14a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Give characteristics of study participants and information on exposures and potential confounders.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Baseline characteristics include age, sex, BMI, ASA physical status, and hypertension.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5–6 (Table 1; Results: Patient Characteristics)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Results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14b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Indicate number of participants with missing data for each variable of interest.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No missing data were present for the primary variables.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5 (Methods: Statistical Analysis)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Results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14c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Summarise follow-up time if applicable.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Not applicable; outcomes were measured during induction and up to 10 min after intubation.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4 (Methods: Monitoring and Anaesthesia)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Results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15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Report numbers of outcome events or summary measures.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Mean LOC-P, mean INT-P, induction-to-intubation time, total induction drug doses, haemodynamic/BIS values, hypotension, bradycardia, haemodynamic response to intubation, and oxygen desaturation findings are reported.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6–9 (Results; Table 2; Figures 1–2)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Results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16a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Give unadjusted and, if applicable, confounder-adjusted estimates and their precision.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LOC-P strongly predicted INT-P: r = 0.900 (95% CI 0.861–0.929; P &lt; 0.001). Linear regression yielded INT-P = 0.670 + 0.974 × LOC-P, R² = 0.810, adjusted R² = 0.808, SEE = 0.164 µg mL⁻¹, slope 95% CI 0.890–1.057.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6–7 (Results: Primary Outcome; Figure 1)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Results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16b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Report category boundaries when continuous variables were categorized.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Not applicable; the main predictor and outcome were analysed as continuous variables.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Not applicable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Results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16c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If relevant, consider translating estimates of relative risk into absolute risk.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Not applicable to the primary correlation/regression analysis. Absolute event frequencies for hypotension, bradycardia, and haemodynamic response are reported.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8–9 (Results: Haemodynamics and BIS)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Results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17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Report other analyses done.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No subgroup, interaction, or sensitivity analyses were performed.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Not applicable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Discussion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18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Summarise key results with reference to study objectives.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The Discussion summarizes that LOC-P strongly predicted INT-P and that the derived formula may support individualized, monitor-independent TCI induction.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9 (Discussion: Principal Findings)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Discussion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19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Discuss limitations, considering sources of potential bias or imprecision.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Limitations include single-centre design, ASA I–II adults aged 18–65 yr only, single propofol-remifentanil regimen, BIS 50 target, non-invasive haemodynamic monitoring, lack of external validation, residual confounding, and subjective LOC assessment by a single investigator.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10–11 (Discussion: Limitations)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Discussion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20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Give a cautious overall interpretation considering objectives, limitations, multiplicity, and other evidence.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The formula is interpreted as clinically promising but hypothesis-generating, requiring external validation. The high haemodynamic response rate is interpreted cautiously and suggests deeper targets or higher opioid concentrations may be needed.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10–11 (Discussion: Haemodynamics and Practical Implications; Limitations; Future Directions)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Discussion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21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Discuss the generalisability of the study results.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Generalisability is discussed as limited to ASA I–II adults, the Schnider/Minto propofol-remifentanil TCI regimen, and BIS 50 target; validation is recommended in older, higher-risk, obese, emergency, and alternative opioid/BIS target populations.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10–11 (Discussion: Limitations; Future Directions)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Other information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22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Give the source of funding and the role of funders.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The study reports no specific funding.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11–12 (Declarations: Funding)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Other information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Ethics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Report ethics approval and consent when human participants are involved.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Ethics approval was obtained from the Ankara University Faculty of Medicine Human Research Ethics Committee (decision no. İ6-416-21), and all participants provided written informed consent.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3 (Methods: Study Design and Oversight); p. 11–12 (Declarations)</w:t>
            </w:r>
          </w:p>
        </w:tc>
      </w:tr>
      <w:tr w:rsidR="00BE4CA3">
        <w:trPr>
          <w:cantSplit/>
          <w:jc w:val="center"/>
        </w:trPr>
        <w:tc>
          <w:tcPr>
            <w:tcW w:w="1656" w:type="dxa"/>
          </w:tcPr>
          <w:p w:rsidR="00BE4CA3" w:rsidRDefault="00477707">
            <w:r>
              <w:rPr>
                <w:sz w:val="15"/>
              </w:rPr>
              <w:t>Other information</w:t>
            </w:r>
          </w:p>
        </w:tc>
        <w:tc>
          <w:tcPr>
            <w:tcW w:w="792" w:type="dxa"/>
          </w:tcPr>
          <w:p w:rsidR="00BE4CA3" w:rsidRDefault="00477707">
            <w:r>
              <w:rPr>
                <w:sz w:val="15"/>
              </w:rPr>
              <w:t>Trial registration</w:t>
            </w:r>
          </w:p>
        </w:tc>
        <w:tc>
          <w:tcPr>
            <w:tcW w:w="3816" w:type="dxa"/>
          </w:tcPr>
          <w:p w:rsidR="00BE4CA3" w:rsidRDefault="00477707">
            <w:r>
              <w:rPr>
                <w:sz w:val="15"/>
              </w:rPr>
              <w:t>Report trial registration if applicable.</w:t>
            </w:r>
          </w:p>
        </w:tc>
        <w:tc>
          <w:tcPr>
            <w:tcW w:w="6624" w:type="dxa"/>
          </w:tcPr>
          <w:p w:rsidR="00BE4CA3" w:rsidRDefault="00477707">
            <w:r>
              <w:rPr>
                <w:sz w:val="15"/>
              </w:rPr>
              <w:t>Trial registration: Not applicable. This prospective observational study was not registered in a clinical trial registry.</w:t>
            </w:r>
          </w:p>
        </w:tc>
        <w:tc>
          <w:tcPr>
            <w:tcW w:w="2592" w:type="dxa"/>
          </w:tcPr>
          <w:p w:rsidR="00BE4CA3" w:rsidRDefault="00477707">
            <w:r>
              <w:rPr>
                <w:sz w:val="15"/>
              </w:rPr>
              <w:t>p. 2 (Abstract)</w:t>
            </w:r>
          </w:p>
        </w:tc>
      </w:tr>
    </w:tbl>
    <w:p w:rsidR="00BE4CA3" w:rsidRDefault="00477707">
      <w:pPr>
        <w:spacing w:before="120"/>
      </w:pPr>
      <w:r>
        <w:rPr>
          <w:i/>
          <w:sz w:val="16"/>
        </w:rPr>
        <w:t>Note: Page numbers may change after journal formatting; therefore, section locations are provided for submission review.</w:t>
      </w:r>
    </w:p>
    <w:sectPr w:rsidR="00BE4CA3" w:rsidSect="00034616">
      <w:pgSz w:w="15840" w:h="12240" w:orient="landscape"/>
      <w:pgMar w:top="792" w:right="648" w:bottom="792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77707"/>
    <w:rsid w:val="006F1CDA"/>
    <w:rsid w:val="00AA1D8D"/>
    <w:rsid w:val="00B47730"/>
    <w:rsid w:val="00BE4CA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F952DD"/>
  <w14:defaultImageDpi w14:val="300"/>
  <w15:docId w15:val="{B0993FBA-8074-4D48-9777-1A953141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D914FB-2A3D-DF48-86DE-8F584F02A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3</cp:revision>
  <dcterms:created xsi:type="dcterms:W3CDTF">2013-12-23T23:15:00Z</dcterms:created>
  <dcterms:modified xsi:type="dcterms:W3CDTF">2026-05-20T13:08:00Z</dcterms:modified>
  <cp:category/>
</cp:coreProperties>
</file>