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EBDA" w14:textId="083431A1" w:rsidR="00EA0DA8" w:rsidRPr="00883A2A" w:rsidRDefault="00000000" w:rsidP="00ED7948">
      <w:pPr>
        <w:jc w:val="center"/>
        <w:rPr>
          <w:color w:val="000000" w:themeColor="text1"/>
        </w:rPr>
      </w:pPr>
      <w:r w:rsidRPr="00883A2A">
        <w:rPr>
          <w:b/>
          <w:color w:val="000000" w:themeColor="text1"/>
          <w:sz w:val="22"/>
        </w:rPr>
        <w:t xml:space="preserve">Table </w:t>
      </w:r>
      <w:r w:rsidR="00A4580C" w:rsidRPr="00883A2A">
        <w:rPr>
          <w:b/>
          <w:color w:val="000000" w:themeColor="text1"/>
          <w:sz w:val="22"/>
        </w:rPr>
        <w:t>S2</w:t>
      </w:r>
      <w:r w:rsidRPr="00883A2A">
        <w:rPr>
          <w:b/>
          <w:color w:val="000000" w:themeColor="text1"/>
          <w:sz w:val="22"/>
        </w:rPr>
        <w:t>. Significant bivariate associations with PHQ-9 depression severity categories</w:t>
      </w:r>
    </w:p>
    <w:p w14:paraId="1ADA1078" w14:textId="08008638" w:rsidR="00EA0DA8" w:rsidRPr="00883A2A" w:rsidRDefault="00000000" w:rsidP="00ED7948">
      <w:pPr>
        <w:jc w:val="center"/>
        <w:rPr>
          <w:color w:val="000000" w:themeColor="text1"/>
        </w:rPr>
      </w:pPr>
      <w:r w:rsidRPr="00883A2A">
        <w:rPr>
          <w:i/>
          <w:color w:val="000000" w:themeColor="text1"/>
          <w:sz w:val="20"/>
        </w:rPr>
        <w:t>Only statistically valid significant associations with PHQ-9 depression severity categories are shown. The dichotomized &gt;=10 analysis was excluded</w:t>
      </w:r>
      <w:r w:rsidR="00ED7948" w:rsidRPr="00883A2A">
        <w:rPr>
          <w:i/>
          <w:color w:val="000000" w:themeColor="text1"/>
          <w:sz w:val="2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2"/>
        <w:gridCol w:w="2053"/>
        <w:gridCol w:w="2068"/>
        <w:gridCol w:w="2131"/>
        <w:gridCol w:w="2002"/>
      </w:tblGrid>
      <w:tr w:rsidR="00883A2A" w:rsidRPr="00883A2A" w14:paraId="65127E16" w14:textId="77777777" w:rsidTr="00883A2A">
        <w:trPr>
          <w:tblHeader/>
          <w:jc w:val="center"/>
        </w:trPr>
        <w:tc>
          <w:tcPr>
            <w:tcW w:w="2012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69240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b/>
                <w:color w:val="000000" w:themeColor="text1"/>
              </w:rPr>
              <w:t>Scale</w:t>
            </w:r>
          </w:p>
        </w:tc>
        <w:tc>
          <w:tcPr>
            <w:tcW w:w="2053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15861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b/>
                <w:color w:val="000000" w:themeColor="text1"/>
              </w:rPr>
              <w:t>Variable</w:t>
            </w:r>
          </w:p>
        </w:tc>
        <w:tc>
          <w:tcPr>
            <w:tcW w:w="2068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9FAD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b/>
                <w:color w:val="000000" w:themeColor="text1"/>
              </w:rPr>
              <w:t>Test used</w:t>
            </w:r>
          </w:p>
        </w:tc>
        <w:tc>
          <w:tcPr>
            <w:tcW w:w="2131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89A8D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b/>
                <w:color w:val="000000" w:themeColor="text1"/>
              </w:rPr>
              <w:t>Statistic / effect size</w:t>
            </w:r>
          </w:p>
        </w:tc>
        <w:tc>
          <w:tcPr>
            <w:tcW w:w="2002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1FB8CC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b/>
                <w:color w:val="000000" w:themeColor="text1"/>
              </w:rPr>
              <w:t>p value</w:t>
            </w:r>
          </w:p>
        </w:tc>
      </w:tr>
      <w:tr w:rsidR="00883A2A" w:rsidRPr="00883A2A" w14:paraId="1B845415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17BFB32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C60618A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Age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E827853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Jonckheere-Terpstra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E4F014F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Z=3.229; r=0.205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7F228F6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0.001</w:t>
            </w:r>
          </w:p>
        </w:tc>
      </w:tr>
      <w:tr w:rsidR="00883A2A" w:rsidRPr="00883A2A" w14:paraId="20F9E32A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E9A6366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3E41B9E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Pack-years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E397629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Jonckheere-Terpstra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D76D9BD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Z=4.519; r=0.320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38BEF25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1DFA6F37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D8C816C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24DEACC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FEV1 % predicted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25B47E8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Jonckheere-Terpstra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2E265BF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Z=-7.131; r=-0.452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26613C0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4C8BAA1C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B8961F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0809B38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mMRC dyspnea score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93969C6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Jonckheere-Terpstra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A9BBCC0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Z=8.963; r=0.568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3A4FA34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35AD0CF8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509E517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7A672EF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Marital status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09A181D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29BD1CC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chi-square(4)=20.697; Cramer's V=0.288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ECC60F7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0.001</w:t>
            </w:r>
          </w:p>
        </w:tc>
      </w:tr>
      <w:tr w:rsidR="00883A2A" w:rsidRPr="00883A2A" w14:paraId="7EA0A328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AD7560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20CB691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Educational level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1F87881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433BD1C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chi-square(4)=28.461; Cramer's V=0.338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FEAC99D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7C2501D0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3A0446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66DA5B2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COPD duration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0F3D9C6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ordinal trend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5F66F9A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chi-square(8)=82.780; Cramer's V=0.408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A242549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1DD0CF2E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2C38D1D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3095174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Smoking status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DF49D15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C3AEE52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chi-square(8)=29.450; Cramer's V=0.243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BD58267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0.001</w:t>
            </w:r>
          </w:p>
        </w:tc>
      </w:tr>
      <w:tr w:rsidR="00883A2A" w:rsidRPr="00883A2A" w14:paraId="2A56142C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EA8E4E2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061B5C0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Chronic disease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20908F6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FA97A58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chi-square(4)=36.286; Cramer's V=0.382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3C7458F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3AC5B312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350AED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950DD5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Weekly physical activity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2FD7DDD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ordinal trend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1D267B9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chi-square(8)=110.770; Cramer's V=0.472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FE1CEEA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3E7030E5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D73824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35A5F65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Regular doctor follow-up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98E7644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95BD7C3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chi-square(4)=33.037; Cramer's V=0.364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3710B23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5D56D913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110A285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637C6A6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Sleep difficulty challenge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60B96C5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5A40CE9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chi-square(4)=9.864; Cramer's V=0.199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1901E88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0.041</w:t>
            </w:r>
          </w:p>
        </w:tc>
      </w:tr>
      <w:tr w:rsidR="00883A2A" w:rsidRPr="00883A2A" w14:paraId="31FF478A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7D298BF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53AD857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Fatigue challenge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D9B7058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F318B94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chi-square(4)=81.695; Cramer's V=0.573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AC47BAA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883A2A" w:rsidRPr="00883A2A" w14:paraId="3BD84B2E" w14:textId="77777777" w:rsidTr="00ED7948">
        <w:trPr>
          <w:jc w:val="center"/>
        </w:trPr>
        <w:tc>
          <w:tcPr>
            <w:tcW w:w="201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968371A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PHQ-9 severity</w:t>
            </w:r>
          </w:p>
        </w:tc>
        <w:tc>
          <w:tcPr>
            <w:tcW w:w="2053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E169C3E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Daily tasks difficulty challenge</w:t>
            </w:r>
          </w:p>
        </w:tc>
        <w:tc>
          <w:tcPr>
            <w:tcW w:w="2068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A5FD708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1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9C945B7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chi-square(4)=80.478; Cramer's V=0.569</w:t>
            </w:r>
          </w:p>
        </w:tc>
        <w:tc>
          <w:tcPr>
            <w:tcW w:w="2002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9846854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  <w:sz w:val="14"/>
              </w:rPr>
              <w:t>&lt;0.001</w:t>
            </w:r>
          </w:p>
        </w:tc>
      </w:tr>
      <w:tr w:rsidR="00ED7948" w:rsidRPr="00883A2A" w14:paraId="1A5E4E30" w14:textId="77777777" w:rsidTr="00ED7948">
        <w:trPr>
          <w:jc w:val="center"/>
        </w:trPr>
        <w:tc>
          <w:tcPr>
            <w:tcW w:w="2012" w:type="dxa"/>
            <w:vAlign w:val="center"/>
          </w:tcPr>
          <w:p w14:paraId="73C8F202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</w:rPr>
              <w:t>PHQ-9 severity</w:t>
            </w:r>
          </w:p>
        </w:tc>
        <w:tc>
          <w:tcPr>
            <w:tcW w:w="2053" w:type="dxa"/>
            <w:vAlign w:val="center"/>
          </w:tcPr>
          <w:p w14:paraId="7EF92FCF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</w:rPr>
              <w:t>PHQ-9 severity distribution by GOLD group</w:t>
            </w:r>
          </w:p>
        </w:tc>
        <w:tc>
          <w:tcPr>
            <w:tcW w:w="2068" w:type="dxa"/>
            <w:vAlign w:val="center"/>
          </w:tcPr>
          <w:p w14:paraId="3A7F1834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</w:rPr>
              <w:t>Pearson chi-square with trend confirmation</w:t>
            </w:r>
          </w:p>
        </w:tc>
        <w:tc>
          <w:tcPr>
            <w:tcW w:w="2131" w:type="dxa"/>
            <w:vAlign w:val="center"/>
          </w:tcPr>
          <w:p w14:paraId="38D05ADB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color w:val="000000" w:themeColor="text1"/>
              </w:rPr>
              <w:t>chi-square(4)=61.955; Cramer's V=0.499</w:t>
            </w:r>
          </w:p>
        </w:tc>
        <w:tc>
          <w:tcPr>
            <w:tcW w:w="2002" w:type="dxa"/>
            <w:vAlign w:val="center"/>
          </w:tcPr>
          <w:p w14:paraId="2C3A66D7" w14:textId="77777777" w:rsidR="00ED7948" w:rsidRPr="00883A2A" w:rsidRDefault="00ED7948" w:rsidP="00ED7948">
            <w:pPr>
              <w:jc w:val="center"/>
              <w:rPr>
                <w:color w:val="000000" w:themeColor="text1"/>
              </w:rPr>
            </w:pPr>
            <w:r w:rsidRPr="00883A2A">
              <w:rPr>
                <w:b/>
                <w:color w:val="000000" w:themeColor="text1"/>
              </w:rPr>
              <w:t>&lt;0.001</w:t>
            </w:r>
          </w:p>
        </w:tc>
      </w:tr>
    </w:tbl>
    <w:p w14:paraId="2EEA3824" w14:textId="77777777" w:rsidR="00EA0DA8" w:rsidRPr="00883A2A" w:rsidRDefault="00EA0DA8" w:rsidP="00ED7948">
      <w:pPr>
        <w:jc w:val="center"/>
        <w:rPr>
          <w:color w:val="000000" w:themeColor="text1"/>
        </w:rPr>
      </w:pPr>
    </w:p>
    <w:p w14:paraId="6A789976" w14:textId="77777777" w:rsidR="00EA0DA8" w:rsidRPr="00883A2A" w:rsidRDefault="00000000" w:rsidP="00ED7948">
      <w:pPr>
        <w:spacing w:before="20" w:after="0"/>
        <w:jc w:val="center"/>
        <w:rPr>
          <w:color w:val="000000" w:themeColor="text1"/>
        </w:rPr>
      </w:pPr>
      <w:r w:rsidRPr="00883A2A">
        <w:rPr>
          <w:i/>
          <w:color w:val="000000" w:themeColor="text1"/>
          <w:sz w:val="18"/>
        </w:rPr>
        <w:t>Note. PHQ-9 categories are the original severity categories. GOLD 1-2 = mild/moderate airflow limitation; GOLD 3-4 = severe/very severe airflow limitation. Values in the GOLD distribution row are n (%) within GOLD group. Continuous and ordinal predictors were evaluated using Jonckheere-Terpstra tests; categorical predictors were evaluated using chi-square or exact tests as appropriate. Cramer's V and r are reported as effect sizes. Abbreviations: COPD, chronic obstructive pulmonary disease; FEV1, forced expiratory volume in 1 second; GOLD, Global Initiative for Chronic Obstructive Lung Disease; mMRC, modified Medical Research Council; PHQ-9, Patient Health Questionnaire 9-item scale.</w:t>
      </w:r>
    </w:p>
    <w:sectPr w:rsidR="00EA0DA8" w:rsidRPr="00883A2A" w:rsidSect="00034616">
      <w:pgSz w:w="16834" w:h="11909" w:orient="landscape"/>
      <w:pgMar w:top="504" w:right="403" w:bottom="504" w:left="4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9002604">
    <w:abstractNumId w:val="8"/>
  </w:num>
  <w:num w:numId="2" w16cid:durableId="215438946">
    <w:abstractNumId w:val="6"/>
  </w:num>
  <w:num w:numId="3" w16cid:durableId="962686385">
    <w:abstractNumId w:val="5"/>
  </w:num>
  <w:num w:numId="4" w16cid:durableId="1536501543">
    <w:abstractNumId w:val="4"/>
  </w:num>
  <w:num w:numId="5" w16cid:durableId="1176267367">
    <w:abstractNumId w:val="7"/>
  </w:num>
  <w:num w:numId="6" w16cid:durableId="1422800001">
    <w:abstractNumId w:val="3"/>
  </w:num>
  <w:num w:numId="7" w16cid:durableId="202713150">
    <w:abstractNumId w:val="2"/>
  </w:num>
  <w:num w:numId="8" w16cid:durableId="274143023">
    <w:abstractNumId w:val="1"/>
  </w:num>
  <w:num w:numId="9" w16cid:durableId="1879507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70E6"/>
    <w:rsid w:val="0015074B"/>
    <w:rsid w:val="0029639D"/>
    <w:rsid w:val="00326F90"/>
    <w:rsid w:val="005B5C77"/>
    <w:rsid w:val="00883A2A"/>
    <w:rsid w:val="0098762D"/>
    <w:rsid w:val="00A4580C"/>
    <w:rsid w:val="00AA1D8D"/>
    <w:rsid w:val="00B47730"/>
    <w:rsid w:val="00CB0664"/>
    <w:rsid w:val="00EA0DA8"/>
    <w:rsid w:val="00ED79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BCAC19"/>
  <w14:defaultImageDpi w14:val="300"/>
  <w15:docId w15:val="{5784AF94-2AB6-4FFA-B9E0-11F1BE36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6</cp:revision>
  <dcterms:created xsi:type="dcterms:W3CDTF">2013-12-23T23:15:00Z</dcterms:created>
  <dcterms:modified xsi:type="dcterms:W3CDTF">2026-05-21T17:12:00Z</dcterms:modified>
  <cp:category/>
</cp:coreProperties>
</file>