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8DA9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Materials</w:t>
      </w:r>
    </w:p>
    <w:p w14:paraId="5462F848">
      <w:pPr>
        <w:spacing w:line="360" w:lineRule="auto"/>
        <w:rPr>
          <w:rFonts w:hint="default" w:ascii="Times New Roman" w:hAnsi="Times New Roman" w:cs="Times New Roman"/>
          <w:sz w:val="24"/>
          <w:szCs w:val="24"/>
        </w:rPr>
      </w:pPr>
    </w:p>
    <w:p w14:paraId="630B6FB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Systemic Immunodynamics: A Quantitative Simulation Framework for Multi‑Antigen Immune Rhythm Entrainment</w:t>
      </w:r>
    </w:p>
    <w:p w14:paraId="60048377">
      <w:pPr>
        <w:spacing w:line="360" w:lineRule="auto"/>
        <w:rPr>
          <w:rFonts w:hint="default" w:ascii="Times New Roman" w:hAnsi="Times New Roman" w:cs="Times New Roman"/>
          <w:sz w:val="24"/>
          <w:szCs w:val="24"/>
        </w:rPr>
      </w:pPr>
    </w:p>
    <w:p w14:paraId="0470784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An Integrated Theory Based on the IL‑2/Treg Axis and the S‑Value Phase Transition Framework</w:t>
      </w:r>
    </w:p>
    <w:p w14:paraId="1938F2B5">
      <w:pPr>
        <w:spacing w:line="360" w:lineRule="auto"/>
        <w:rPr>
          <w:rFonts w:hint="default" w:ascii="Times New Roman" w:hAnsi="Times New Roman" w:cs="Times New Roman"/>
          <w:sz w:val="24"/>
          <w:szCs w:val="24"/>
        </w:rPr>
      </w:pPr>
    </w:p>
    <w:p w14:paraId="1677B3C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Author: Zhang Yuanshan</w:t>
      </w:r>
    </w:p>
    <w:p w14:paraId="3103872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Email: xchyuanshanzhang@163.com</w:t>
      </w:r>
    </w:p>
    <w:p w14:paraId="3536B01F">
      <w:pPr>
        <w:spacing w:line="360" w:lineRule="auto"/>
        <w:rPr>
          <w:rFonts w:hint="default" w:ascii="Times New Roman" w:hAnsi="Times New Roman" w:cs="Times New Roman"/>
          <w:sz w:val="24"/>
          <w:szCs w:val="24"/>
        </w:rPr>
      </w:pPr>
    </w:p>
    <w:p w14:paraId="4175D42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Statement</w:t>
      </w:r>
    </w:p>
    <w:p w14:paraId="73AAC7C1">
      <w:pPr>
        <w:spacing w:line="360" w:lineRule="auto"/>
        <w:rPr>
          <w:rFonts w:hint="default" w:ascii="Times New Roman" w:hAnsi="Times New Roman" w:cs="Times New Roman"/>
          <w:sz w:val="24"/>
          <w:szCs w:val="24"/>
        </w:rPr>
      </w:pPr>
    </w:p>
    <w:p w14:paraId="37B4D3F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All experimental protocols, validation methods, and numerical simulations in this supplementary material are theoretical suggestions. The author’s institution does not have the experimental platform or ethical approval capabilities. All protocols are provided for reference by qualified research institutions only. Without experimental validation, clinical or commercial use is strictly forbidden.</w:t>
      </w:r>
    </w:p>
    <w:p w14:paraId="71F3D058">
      <w:pPr>
        <w:spacing w:line="360" w:lineRule="auto"/>
        <w:rPr>
          <w:rFonts w:hint="default" w:ascii="Times New Roman" w:hAnsi="Times New Roman" w:cs="Times New Roman"/>
          <w:sz w:val="24"/>
          <w:szCs w:val="24"/>
        </w:rPr>
      </w:pPr>
    </w:p>
    <w:p w14:paraId="5E01CA9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AI tools were used only for language editing; the core theory was independently developed by the author.</w:t>
      </w:r>
    </w:p>
    <w:p w14:paraId="64DDA67B">
      <w:pPr>
        <w:spacing w:line="360" w:lineRule="auto"/>
        <w:rPr>
          <w:rFonts w:hint="default" w:ascii="Times New Roman" w:hAnsi="Times New Roman" w:cs="Times New Roman"/>
          <w:sz w:val="24"/>
          <w:szCs w:val="24"/>
        </w:rPr>
      </w:pPr>
    </w:p>
    <w:p w14:paraId="16A71C0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Unified warning: Content marked with “⚠️” consists of unvalidated theoretical suggestions. It must not be directly used for clinical decisions or experimental operations without ethical approval and preliminary experimental validation.</w:t>
      </w:r>
    </w:p>
    <w:p w14:paraId="3E5FE0AD">
      <w:pPr>
        <w:spacing w:line="360" w:lineRule="auto"/>
        <w:rPr>
          <w:rFonts w:hint="default" w:ascii="Times New Roman" w:hAnsi="Times New Roman" w:cs="Times New Roman"/>
          <w:sz w:val="24"/>
          <w:szCs w:val="24"/>
        </w:rPr>
      </w:pPr>
    </w:p>
    <w:p w14:paraId="300443C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Table of Contents</w:t>
      </w:r>
    </w:p>
    <w:p w14:paraId="24B1CB74">
      <w:pPr>
        <w:spacing w:line="360" w:lineRule="auto"/>
        <w:rPr>
          <w:rFonts w:hint="default" w:ascii="Times New Roman" w:hAnsi="Times New Roman" w:cs="Times New Roman"/>
          <w:sz w:val="24"/>
          <w:szCs w:val="24"/>
        </w:rPr>
      </w:pPr>
    </w:p>
    <w:p w14:paraId="66C1AF2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Quantitative expression of the total driving signal C(t) and weight tables</w:t>
      </w:r>
    </w:p>
    <w:p w14:paraId="26365DCE">
      <w:pPr>
        <w:spacing w:line="360" w:lineRule="auto"/>
        <w:rPr>
          <w:rFonts w:hint="default" w:ascii="Times New Roman" w:hAnsi="Times New Roman" w:cs="Times New Roman"/>
          <w:sz w:val="24"/>
          <w:szCs w:val="24"/>
        </w:rPr>
      </w:pPr>
    </w:p>
    <w:p w14:paraId="44923F1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Kuramoto model derivation, parameters, and sensitivity analysis (with code)</w:t>
      </w:r>
    </w:p>
    <w:p w14:paraId="1188BE92">
      <w:pPr>
        <w:spacing w:line="360" w:lineRule="auto"/>
        <w:rPr>
          <w:rFonts w:hint="default" w:ascii="Times New Roman" w:hAnsi="Times New Roman" w:cs="Times New Roman"/>
          <w:sz w:val="24"/>
          <w:szCs w:val="24"/>
        </w:rPr>
      </w:pPr>
    </w:p>
    <w:p w14:paraId="2E05C66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Detailed animal model protocol for validation (LCMV+OVA)</w:t>
      </w:r>
    </w:p>
    <w:p w14:paraId="0F7EAECE">
      <w:pPr>
        <w:spacing w:line="360" w:lineRule="auto"/>
        <w:rPr>
          <w:rFonts w:hint="default" w:ascii="Times New Roman" w:hAnsi="Times New Roman" w:cs="Times New Roman"/>
          <w:sz w:val="24"/>
          <w:szCs w:val="24"/>
        </w:rPr>
      </w:pPr>
    </w:p>
    <w:p w14:paraId="1A6B9FD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Standardised S_clin detection workflow and supplementary notes on sCD25</w:t>
      </w:r>
    </w:p>
    <w:p w14:paraId="105DBA19">
      <w:pPr>
        <w:spacing w:line="360" w:lineRule="auto"/>
        <w:rPr>
          <w:rFonts w:hint="default" w:ascii="Times New Roman" w:hAnsi="Times New Roman" w:cs="Times New Roman"/>
          <w:sz w:val="24"/>
          <w:szCs w:val="24"/>
        </w:rPr>
      </w:pPr>
    </w:p>
    <w:p w14:paraId="273D115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Example protocol for phase‑specific IL‑2 administration</w:t>
      </w:r>
    </w:p>
    <w:p w14:paraId="2FE80193">
      <w:pPr>
        <w:spacing w:line="360" w:lineRule="auto"/>
        <w:rPr>
          <w:rFonts w:hint="default" w:ascii="Times New Roman" w:hAnsi="Times New Roman" w:cs="Times New Roman"/>
          <w:sz w:val="24"/>
          <w:szCs w:val="24"/>
        </w:rPr>
      </w:pPr>
    </w:p>
    <w:p w14:paraId="7E50D78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figure descriptions</w:t>
      </w:r>
    </w:p>
    <w:p w14:paraId="6DBEB030">
      <w:pPr>
        <w:spacing w:line="360" w:lineRule="auto"/>
        <w:rPr>
          <w:rFonts w:hint="default" w:ascii="Times New Roman" w:hAnsi="Times New Roman" w:cs="Times New Roman"/>
          <w:sz w:val="24"/>
          <w:szCs w:val="24"/>
        </w:rPr>
      </w:pPr>
    </w:p>
    <w:p w14:paraId="1E7BA43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Reproducibility statement</w:t>
      </w:r>
    </w:p>
    <w:p w14:paraId="6269CA9D">
      <w:pPr>
        <w:spacing w:line="360" w:lineRule="auto"/>
        <w:rPr>
          <w:rFonts w:hint="default" w:ascii="Times New Roman" w:hAnsi="Times New Roman" w:cs="Times New Roman"/>
          <w:sz w:val="24"/>
          <w:szCs w:val="24"/>
        </w:rPr>
      </w:pPr>
    </w:p>
    <w:p w14:paraId="70A052B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Multi‑antigen mixture extension and parameter sensitivity analysis</w:t>
      </w:r>
    </w:p>
    <w:p w14:paraId="7E0DC39B">
      <w:pPr>
        <w:spacing w:line="360" w:lineRule="auto"/>
        <w:rPr>
          <w:rFonts w:hint="default" w:ascii="Times New Roman" w:hAnsi="Times New Roman" w:cs="Times New Roman"/>
          <w:sz w:val="24"/>
          <w:szCs w:val="24"/>
        </w:rPr>
      </w:pPr>
    </w:p>
    <w:p w14:paraId="57D4360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Quantitative expression of the total driving signal C(t) and weight tables</w:t>
      </w:r>
    </w:p>
    <w:p w14:paraId="2AD310D4">
      <w:pPr>
        <w:spacing w:line="360" w:lineRule="auto"/>
        <w:rPr>
          <w:rFonts w:hint="default" w:ascii="Times New Roman" w:hAnsi="Times New Roman" w:cs="Times New Roman"/>
          <w:sz w:val="24"/>
          <w:szCs w:val="24"/>
        </w:rPr>
      </w:pPr>
    </w:p>
    <w:p w14:paraId="0D194AA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1.1 Quantitative definition</w:t>
      </w:r>
    </w:p>
    <w:p w14:paraId="08C6C2AD">
      <w:pPr>
        <w:spacing w:line="360" w:lineRule="auto"/>
        <w:rPr>
          <w:rFonts w:hint="default" w:ascii="Times New Roman" w:hAnsi="Times New Roman" w:cs="Times New Roman"/>
          <w:sz w:val="24"/>
          <w:szCs w:val="24"/>
        </w:rPr>
      </w:pPr>
    </w:p>
    <w:p w14:paraId="5419082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C(t) = ω_IL2·[IL2] + Σ ω_pos·[pos] − Σ ω_neg·[neg]</w:t>
      </w:r>
    </w:p>
    <w:p w14:paraId="13FC51BB">
      <w:pPr>
        <w:spacing w:line="360" w:lineRule="auto"/>
        <w:rPr>
          <w:rFonts w:hint="default" w:ascii="Times New Roman" w:hAnsi="Times New Roman" w:cs="Times New Roman"/>
          <w:sz w:val="24"/>
          <w:szCs w:val="24"/>
        </w:rPr>
      </w:pPr>
    </w:p>
    <w:p w14:paraId="6741D7E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[IL2], [pos], [neg] are the local tissue concentrations of IL‑2, positive modulators (IL‑6, IFN‑γ, IL‑1β, TNF‑α) and negative modulators (IL‑10, TGF‑β, IL‑4, IL‑27), respectively (theoretical unit: pM).</w:t>
      </w:r>
    </w:p>
    <w:p w14:paraId="02C6D615">
      <w:pPr>
        <w:spacing w:line="360" w:lineRule="auto"/>
        <w:rPr>
          <w:rFonts w:hint="default" w:ascii="Times New Roman" w:hAnsi="Times New Roman" w:cs="Times New Roman"/>
          <w:sz w:val="24"/>
          <w:szCs w:val="24"/>
        </w:rPr>
      </w:pPr>
    </w:p>
    <w:p w14:paraId="60EEF07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ω are time‑varying weights (theoretical examples, require experimental calibration).</w:t>
      </w:r>
    </w:p>
    <w:p w14:paraId="2D2B228D">
      <w:pPr>
        <w:spacing w:line="360" w:lineRule="auto"/>
        <w:rPr>
          <w:rFonts w:hint="default" w:ascii="Times New Roman" w:hAnsi="Times New Roman" w:cs="Times New Roman"/>
          <w:sz w:val="24"/>
          <w:szCs w:val="24"/>
        </w:rPr>
      </w:pPr>
    </w:p>
    <w:p w14:paraId="05C3FCA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1.2 Example weights (theoretical values)</w:t>
      </w:r>
    </w:p>
    <w:p w14:paraId="14287C33">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30"/>
        <w:gridCol w:w="2130"/>
        <w:gridCol w:w="2131"/>
        <w:gridCol w:w="2131"/>
      </w:tblGrid>
      <w:tr w14:paraId="0722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4B9B8050">
            <w:pPr>
              <w:spacing w:line="360" w:lineRule="auto"/>
            </w:pPr>
            <w:r>
              <w:rPr>
                <w:rFonts w:hint="default" w:ascii="Times New Roman" w:hAnsi="Times New Roman" w:cs="Times New Roman"/>
                <w:sz w:val="24"/>
                <w:szCs w:val="24"/>
              </w:rPr>
              <w:t>Immune phase</w:t>
            </w:r>
          </w:p>
        </w:tc>
        <w:tc>
          <w:tcPr>
            <w:tcW w:w="2130" w:type="dxa"/>
          </w:tcPr>
          <w:p w14:paraId="60C0121D">
            <w:pPr>
              <w:spacing w:line="360" w:lineRule="auto"/>
            </w:pPr>
            <w:r>
              <w:rPr>
                <w:rFonts w:hint="default" w:ascii="Times New Roman" w:hAnsi="Times New Roman" w:cs="Times New Roman"/>
                <w:sz w:val="24"/>
                <w:szCs w:val="24"/>
              </w:rPr>
              <w:t>ω_IL2</w:t>
            </w:r>
          </w:p>
        </w:tc>
        <w:tc>
          <w:tcPr>
            <w:tcW w:w="2131" w:type="dxa"/>
          </w:tcPr>
          <w:p w14:paraId="0E575A2A">
            <w:pPr>
              <w:spacing w:line="360" w:lineRule="auto"/>
            </w:pPr>
            <w:r>
              <w:rPr>
                <w:rFonts w:hint="default" w:ascii="Times New Roman" w:hAnsi="Times New Roman" w:cs="Times New Roman"/>
                <w:sz w:val="24"/>
                <w:szCs w:val="24"/>
              </w:rPr>
              <w:t>ω_pos (IL‑6 as example)</w:t>
            </w:r>
          </w:p>
        </w:tc>
        <w:tc>
          <w:tcPr>
            <w:tcW w:w="2131" w:type="dxa"/>
          </w:tcPr>
          <w:p w14:paraId="5ADD4918">
            <w:pPr>
              <w:spacing w:line="360" w:lineRule="auto"/>
            </w:pPr>
            <w:r>
              <w:rPr>
                <w:rFonts w:hint="default" w:ascii="Times New Roman" w:hAnsi="Times New Roman" w:cs="Times New Roman"/>
                <w:sz w:val="24"/>
                <w:szCs w:val="24"/>
              </w:rPr>
              <w:t>ω_neg (IL‑10 as example)</w:t>
            </w:r>
          </w:p>
        </w:tc>
      </w:tr>
      <w:tr w14:paraId="6F01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6F376688">
            <w:pPr>
              <w:spacing w:line="360" w:lineRule="auto"/>
            </w:pPr>
            <w:r>
              <w:rPr>
                <w:rFonts w:hint="default" w:ascii="Times New Roman" w:hAnsi="Times New Roman" w:cs="Times New Roman"/>
                <w:sz w:val="24"/>
                <w:szCs w:val="24"/>
              </w:rPr>
              <w:t>Effector</w:t>
            </w:r>
          </w:p>
        </w:tc>
        <w:tc>
          <w:tcPr>
            <w:tcW w:w="2130" w:type="dxa"/>
          </w:tcPr>
          <w:p w14:paraId="60975BA2">
            <w:pPr>
              <w:spacing w:line="360" w:lineRule="auto"/>
            </w:pPr>
            <w:r>
              <w:rPr>
                <w:rFonts w:hint="default" w:ascii="Times New Roman" w:hAnsi="Times New Roman" w:cs="Times New Roman"/>
                <w:sz w:val="24"/>
                <w:szCs w:val="24"/>
              </w:rPr>
              <w:t>1.0</w:t>
            </w:r>
          </w:p>
        </w:tc>
        <w:tc>
          <w:tcPr>
            <w:tcW w:w="2131" w:type="dxa"/>
          </w:tcPr>
          <w:p w14:paraId="0335084E">
            <w:pPr>
              <w:spacing w:line="360" w:lineRule="auto"/>
            </w:pPr>
            <w:r>
              <w:rPr>
                <w:rFonts w:hint="default" w:ascii="Times New Roman" w:hAnsi="Times New Roman" w:cs="Times New Roman"/>
                <w:sz w:val="24"/>
                <w:szCs w:val="24"/>
              </w:rPr>
              <w:t>0.8</w:t>
            </w:r>
          </w:p>
        </w:tc>
        <w:tc>
          <w:tcPr>
            <w:tcW w:w="2131" w:type="dxa"/>
          </w:tcPr>
          <w:p w14:paraId="0D21263F">
            <w:pPr>
              <w:spacing w:line="360" w:lineRule="auto"/>
            </w:pPr>
            <w:r>
              <w:rPr>
                <w:rFonts w:hint="default" w:ascii="Times New Roman" w:hAnsi="Times New Roman" w:cs="Times New Roman"/>
                <w:sz w:val="24"/>
                <w:szCs w:val="24"/>
              </w:rPr>
              <w:t>0.2</w:t>
            </w:r>
          </w:p>
        </w:tc>
      </w:tr>
      <w:tr w14:paraId="5B86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70FBD9E2">
            <w:pPr>
              <w:spacing w:line="360" w:lineRule="auto"/>
            </w:pPr>
            <w:r>
              <w:rPr>
                <w:rFonts w:hint="default" w:ascii="Times New Roman" w:hAnsi="Times New Roman" w:cs="Times New Roman"/>
                <w:sz w:val="24"/>
                <w:szCs w:val="24"/>
              </w:rPr>
              <w:t>Contraction</w:t>
            </w:r>
          </w:p>
        </w:tc>
        <w:tc>
          <w:tcPr>
            <w:tcW w:w="2130" w:type="dxa"/>
          </w:tcPr>
          <w:p w14:paraId="4686D111">
            <w:pPr>
              <w:spacing w:line="360" w:lineRule="auto"/>
            </w:pPr>
            <w:r>
              <w:rPr>
                <w:rFonts w:hint="default" w:ascii="Times New Roman" w:hAnsi="Times New Roman" w:cs="Times New Roman"/>
                <w:sz w:val="24"/>
                <w:szCs w:val="24"/>
              </w:rPr>
              <w:t>0.6</w:t>
            </w:r>
          </w:p>
        </w:tc>
        <w:tc>
          <w:tcPr>
            <w:tcW w:w="2131" w:type="dxa"/>
          </w:tcPr>
          <w:p w14:paraId="38AADA5C">
            <w:pPr>
              <w:spacing w:line="360" w:lineRule="auto"/>
            </w:pPr>
            <w:r>
              <w:rPr>
                <w:rFonts w:hint="default" w:ascii="Times New Roman" w:hAnsi="Times New Roman" w:cs="Times New Roman"/>
                <w:sz w:val="24"/>
                <w:szCs w:val="24"/>
              </w:rPr>
              <w:t>0.3</w:t>
            </w:r>
          </w:p>
        </w:tc>
        <w:tc>
          <w:tcPr>
            <w:tcW w:w="2131" w:type="dxa"/>
          </w:tcPr>
          <w:p w14:paraId="0B1CA344">
            <w:pPr>
              <w:spacing w:line="360" w:lineRule="auto"/>
            </w:pPr>
            <w:r>
              <w:rPr>
                <w:rFonts w:hint="default" w:ascii="Times New Roman" w:hAnsi="Times New Roman" w:cs="Times New Roman"/>
                <w:sz w:val="24"/>
                <w:szCs w:val="24"/>
              </w:rPr>
              <w:t>0.9</w:t>
            </w:r>
          </w:p>
        </w:tc>
      </w:tr>
      <w:tr w14:paraId="79D3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4295A4FF">
            <w:pPr>
              <w:spacing w:line="360" w:lineRule="auto"/>
            </w:pPr>
            <w:r>
              <w:rPr>
                <w:rFonts w:hint="default" w:ascii="Times New Roman" w:hAnsi="Times New Roman" w:cs="Times New Roman"/>
                <w:sz w:val="24"/>
                <w:szCs w:val="24"/>
              </w:rPr>
              <w:t>Tolerance</w:t>
            </w:r>
          </w:p>
        </w:tc>
        <w:tc>
          <w:tcPr>
            <w:tcW w:w="2130" w:type="dxa"/>
          </w:tcPr>
          <w:p w14:paraId="4652CD5C">
            <w:pPr>
              <w:spacing w:line="360" w:lineRule="auto"/>
            </w:pPr>
            <w:r>
              <w:rPr>
                <w:rFonts w:hint="default" w:ascii="Times New Roman" w:hAnsi="Times New Roman" w:cs="Times New Roman"/>
                <w:sz w:val="24"/>
                <w:szCs w:val="24"/>
              </w:rPr>
              <w:t>0.3</w:t>
            </w:r>
          </w:p>
        </w:tc>
        <w:tc>
          <w:tcPr>
            <w:tcW w:w="2131" w:type="dxa"/>
          </w:tcPr>
          <w:p w14:paraId="184F6162">
            <w:pPr>
              <w:spacing w:line="360" w:lineRule="auto"/>
            </w:pPr>
            <w:r>
              <w:rPr>
                <w:rFonts w:hint="default" w:ascii="Times New Roman" w:hAnsi="Times New Roman" w:cs="Times New Roman"/>
                <w:sz w:val="24"/>
                <w:szCs w:val="24"/>
              </w:rPr>
              <w:t>0.1</w:t>
            </w:r>
          </w:p>
        </w:tc>
        <w:tc>
          <w:tcPr>
            <w:tcW w:w="2131" w:type="dxa"/>
          </w:tcPr>
          <w:p w14:paraId="456C81F5">
            <w:pPr>
              <w:spacing w:line="360" w:lineRule="auto"/>
            </w:pPr>
            <w:r>
              <w:rPr>
                <w:rFonts w:hint="default" w:ascii="Times New Roman" w:hAnsi="Times New Roman" w:cs="Times New Roman"/>
                <w:sz w:val="24"/>
                <w:szCs w:val="24"/>
              </w:rPr>
              <w:t>1.0</w:t>
            </w:r>
          </w:p>
        </w:tc>
      </w:tr>
    </w:tbl>
    <w:p w14:paraId="7574B33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The above weights are schematic; they may vary significantly among different tissues and pathogen infections. Calibration requires multi‑clone co‑culture experiments or spatial transcriptomic data.</w:t>
      </w:r>
    </w:p>
    <w:p w14:paraId="4F7E2CC7">
      <w:pPr>
        <w:spacing w:line="360" w:lineRule="auto"/>
        <w:rPr>
          <w:rFonts w:hint="default" w:ascii="Times New Roman" w:hAnsi="Times New Roman" w:cs="Times New Roman"/>
          <w:sz w:val="24"/>
          <w:szCs w:val="24"/>
        </w:rPr>
      </w:pPr>
    </w:p>
    <w:p w14:paraId="7BDBBCD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Kuramoto model derivation, parameters, and sensitivity analysis (with code)</w:t>
      </w:r>
    </w:p>
    <w:p w14:paraId="3826462C">
      <w:pPr>
        <w:spacing w:line="360" w:lineRule="auto"/>
        <w:rPr>
          <w:rFonts w:hint="default" w:ascii="Times New Roman" w:hAnsi="Times New Roman" w:cs="Times New Roman"/>
          <w:sz w:val="24"/>
          <w:szCs w:val="24"/>
        </w:rPr>
      </w:pPr>
    </w:p>
    <w:p w14:paraId="628D669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2.1 Biological basis and positioning</w:t>
      </w:r>
    </w:p>
    <w:p w14:paraId="53D25F96">
      <w:pPr>
        <w:spacing w:line="360" w:lineRule="auto"/>
        <w:rPr>
          <w:rFonts w:hint="default" w:ascii="Times New Roman" w:hAnsi="Times New Roman" w:cs="Times New Roman"/>
          <w:sz w:val="24"/>
          <w:szCs w:val="24"/>
        </w:rPr>
      </w:pPr>
    </w:p>
    <w:p w14:paraId="3E4FD8F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Different T‑cell clones couple weakly through a shared IL‑2 pool, and the phenomenon of response peak alignment can be heuristically described using the Kuramoto model. The rate of change of the phase θ_i of a single clone is determined by its intrinsic frequency ω_i (related to antigen affinity) and a coupling term. Global coupling strength:</w:t>
      </w:r>
    </w:p>
    <w:p w14:paraId="5C0310FC">
      <w:pPr>
        <w:spacing w:line="360" w:lineRule="auto"/>
        <w:rPr>
          <w:rFonts w:hint="default" w:ascii="Times New Roman" w:hAnsi="Times New Roman" w:cs="Times New Roman"/>
          <w:sz w:val="24"/>
          <w:szCs w:val="24"/>
        </w:rPr>
      </w:pPr>
    </w:p>
    <w:p w14:paraId="1658D4C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K = α·C(t) − β·S</w:t>
      </w:r>
    </w:p>
    <w:p w14:paraId="281464BD">
      <w:pPr>
        <w:spacing w:line="360" w:lineRule="auto"/>
        <w:rPr>
          <w:rFonts w:hint="default" w:ascii="Times New Roman" w:hAnsi="Times New Roman" w:cs="Times New Roman"/>
          <w:sz w:val="24"/>
          <w:szCs w:val="24"/>
        </w:rPr>
      </w:pPr>
    </w:p>
    <w:p w14:paraId="1DB58BF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where C(t) is the total driving signal and S is the tolerance stability index (Treg/Tpex).</w:t>
      </w:r>
    </w:p>
    <w:p w14:paraId="4AC18D8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Important positioning: This model is used only as a qualitative descriptive tool and cannot be directly applied for quantitative prediction without calibration. There are fundamental differences between immune cell populations and physical oscillator systems (nonlinear proliferation, delayed feedback, spatial heterogeneity). Full quantification requires specialised adaptations for the immune system.</w:t>
      </w:r>
    </w:p>
    <w:p w14:paraId="7CEB8945">
      <w:pPr>
        <w:spacing w:line="360" w:lineRule="auto"/>
        <w:rPr>
          <w:rFonts w:hint="default" w:ascii="Times New Roman" w:hAnsi="Times New Roman" w:cs="Times New Roman"/>
          <w:sz w:val="24"/>
          <w:szCs w:val="24"/>
        </w:rPr>
      </w:pPr>
    </w:p>
    <w:p w14:paraId="6ECB6A7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2.2 Parameters and sensitivity analysis (theoretical examples)</w:t>
      </w:r>
    </w:p>
    <w:p w14:paraId="7781E2CB">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2841"/>
        <w:gridCol w:w="2841"/>
      </w:tblGrid>
      <w:tr w14:paraId="2EB5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203AA3C">
            <w:pPr>
              <w:spacing w:line="360" w:lineRule="auto"/>
            </w:pPr>
            <w:r>
              <w:rPr>
                <w:rFonts w:hint="default" w:ascii="Times New Roman" w:hAnsi="Times New Roman" w:cs="Times New Roman"/>
                <w:sz w:val="24"/>
                <w:szCs w:val="24"/>
              </w:rPr>
              <w:t>Parameter</w:t>
            </w:r>
          </w:p>
        </w:tc>
        <w:tc>
          <w:tcPr>
            <w:tcW w:w="2841" w:type="dxa"/>
          </w:tcPr>
          <w:p w14:paraId="6F7945AA">
            <w:pPr>
              <w:spacing w:line="360" w:lineRule="auto"/>
            </w:pPr>
            <w:r>
              <w:rPr>
                <w:rFonts w:hint="default" w:ascii="Times New Roman" w:hAnsi="Times New Roman" w:cs="Times New Roman"/>
                <w:sz w:val="24"/>
                <w:szCs w:val="24"/>
              </w:rPr>
              <w:t>Theoretical value</w:t>
            </w:r>
          </w:p>
        </w:tc>
        <w:tc>
          <w:tcPr>
            <w:tcW w:w="2841" w:type="dxa"/>
          </w:tcPr>
          <w:p w14:paraId="31EB586E">
            <w:pPr>
              <w:spacing w:line="360" w:lineRule="auto"/>
            </w:pPr>
            <w:r>
              <w:rPr>
                <w:rFonts w:hint="default" w:ascii="Times New Roman" w:hAnsi="Times New Roman" w:cs="Times New Roman"/>
                <w:sz w:val="24"/>
                <w:szCs w:val="24"/>
              </w:rPr>
              <w:t>Description</w:t>
            </w:r>
          </w:p>
        </w:tc>
      </w:tr>
      <w:tr w14:paraId="34DD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192634B">
            <w:pPr>
              <w:spacing w:line="360" w:lineRule="auto"/>
            </w:pPr>
            <w:r>
              <w:rPr>
                <w:rFonts w:hint="default" w:ascii="Times New Roman" w:hAnsi="Times New Roman" w:cs="Times New Roman"/>
                <w:sz w:val="24"/>
                <w:szCs w:val="24"/>
              </w:rPr>
              <w:t>α</w:t>
            </w:r>
          </w:p>
        </w:tc>
        <w:tc>
          <w:tcPr>
            <w:tcW w:w="2841" w:type="dxa"/>
          </w:tcPr>
          <w:p w14:paraId="1FEAEB6B">
            <w:pPr>
              <w:spacing w:line="360" w:lineRule="auto"/>
            </w:pPr>
            <w:r>
              <w:rPr>
                <w:rFonts w:hint="default" w:ascii="Times New Roman" w:hAnsi="Times New Roman" w:cs="Times New Roman"/>
                <w:sz w:val="24"/>
                <w:szCs w:val="24"/>
              </w:rPr>
              <w:t>0.5</w:t>
            </w:r>
          </w:p>
        </w:tc>
        <w:tc>
          <w:tcPr>
            <w:tcW w:w="2841" w:type="dxa"/>
          </w:tcPr>
          <w:p w14:paraId="62194554">
            <w:pPr>
              <w:spacing w:line="360" w:lineRule="auto"/>
            </w:pPr>
            <w:r>
              <w:rPr>
                <w:rFonts w:hint="default" w:ascii="Times New Roman" w:hAnsi="Times New Roman" w:cs="Times New Roman"/>
                <w:sz w:val="24"/>
                <w:szCs w:val="24"/>
              </w:rPr>
              <w:t>Weight of the driving signal</w:t>
            </w:r>
          </w:p>
        </w:tc>
      </w:tr>
      <w:tr w14:paraId="3F70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38DDBC9">
            <w:pPr>
              <w:spacing w:line="360" w:lineRule="auto"/>
            </w:pPr>
            <w:r>
              <w:rPr>
                <w:rFonts w:hint="default" w:ascii="Times New Roman" w:hAnsi="Times New Roman" w:cs="Times New Roman"/>
                <w:sz w:val="24"/>
                <w:szCs w:val="24"/>
              </w:rPr>
              <w:t>β</w:t>
            </w:r>
          </w:p>
        </w:tc>
        <w:tc>
          <w:tcPr>
            <w:tcW w:w="2841" w:type="dxa"/>
          </w:tcPr>
          <w:p w14:paraId="77B199EB">
            <w:pPr>
              <w:spacing w:line="360" w:lineRule="auto"/>
            </w:pPr>
            <w:r>
              <w:rPr>
                <w:rFonts w:hint="default" w:ascii="Times New Roman" w:hAnsi="Times New Roman" w:cs="Times New Roman"/>
                <w:sz w:val="24"/>
                <w:szCs w:val="24"/>
              </w:rPr>
              <w:t>0.3</w:t>
            </w:r>
          </w:p>
        </w:tc>
        <w:tc>
          <w:tcPr>
            <w:tcW w:w="2841" w:type="dxa"/>
          </w:tcPr>
          <w:p w14:paraId="650AADB9">
            <w:pPr>
              <w:spacing w:line="360" w:lineRule="auto"/>
            </w:pPr>
            <w:r>
              <w:rPr>
                <w:rFonts w:hint="default" w:ascii="Times New Roman" w:hAnsi="Times New Roman" w:cs="Times New Roman"/>
                <w:sz w:val="24"/>
                <w:szCs w:val="24"/>
              </w:rPr>
              <w:t>Damping coefficient of S</w:t>
            </w:r>
          </w:p>
        </w:tc>
      </w:tr>
      <w:tr w14:paraId="4A84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8E276A5">
            <w:pPr>
              <w:spacing w:line="360" w:lineRule="auto"/>
            </w:pPr>
            <w:r>
              <w:rPr>
                <w:rFonts w:hint="default" w:ascii="Times New Roman" w:hAnsi="Times New Roman" w:cs="Times New Roman"/>
                <w:sz w:val="24"/>
                <w:szCs w:val="24"/>
              </w:rPr>
              <w:t>K_c</w:t>
            </w:r>
          </w:p>
        </w:tc>
        <w:tc>
          <w:tcPr>
            <w:tcW w:w="2841" w:type="dxa"/>
          </w:tcPr>
          <w:p w14:paraId="200682DF">
            <w:pPr>
              <w:spacing w:line="360" w:lineRule="auto"/>
            </w:pPr>
            <w:r>
              <w:rPr>
                <w:rFonts w:hint="default" w:ascii="Times New Roman" w:hAnsi="Times New Roman" w:cs="Times New Roman"/>
                <w:sz w:val="24"/>
                <w:szCs w:val="24"/>
              </w:rPr>
              <w:t>0.8</w:t>
            </w:r>
          </w:p>
        </w:tc>
        <w:tc>
          <w:tcPr>
            <w:tcW w:w="2841" w:type="dxa"/>
          </w:tcPr>
          <w:p w14:paraId="1A333748">
            <w:pPr>
              <w:spacing w:line="360" w:lineRule="auto"/>
            </w:pPr>
            <w:r>
              <w:rPr>
                <w:rFonts w:hint="default" w:ascii="Times New Roman" w:hAnsi="Times New Roman" w:cs="Times New Roman"/>
                <w:sz w:val="24"/>
                <w:szCs w:val="24"/>
              </w:rPr>
              <w:t>Critical coupling strength for synchrony</w:t>
            </w:r>
          </w:p>
        </w:tc>
      </w:tr>
    </w:tbl>
    <w:p w14:paraId="68CA9A4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Sensitivity analysis: When α and β fluctuate within ±50% (α∈[0.25,0.75], β∈[0.15,0.45]), the qualitative conclusion of a synchronisation transition remains unchanged; K_c shifts by &lt;15%.</w:t>
      </w:r>
    </w:p>
    <w:p w14:paraId="0FDC00E1">
      <w:pPr>
        <w:spacing w:line="360" w:lineRule="auto"/>
        <w:rPr>
          <w:rFonts w:hint="default" w:ascii="Times New Roman" w:hAnsi="Times New Roman" w:cs="Times New Roman"/>
          <w:sz w:val="24"/>
          <w:szCs w:val="24"/>
        </w:rPr>
      </w:pPr>
    </w:p>
    <w:p w14:paraId="1229D49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2.3 Python simulation code (basic version)</w:t>
      </w:r>
    </w:p>
    <w:p w14:paraId="63D077B2">
      <w:pPr>
        <w:spacing w:line="360" w:lineRule="auto"/>
        <w:rPr>
          <w:rFonts w:hint="default" w:ascii="Times New Roman" w:hAnsi="Times New Roman" w:cs="Times New Roman"/>
          <w:sz w:val="24"/>
          <w:szCs w:val="24"/>
        </w:rPr>
      </w:pPr>
    </w:p>
    <w:p w14:paraId="58E6C72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python</w:t>
      </w:r>
    </w:p>
    <w:p w14:paraId="7074DDC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S_dynamics_simulation.py</w:t>
      </w:r>
    </w:p>
    <w:p w14:paraId="756DCE1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Theoretical example: S‑value dynamics under different danger signal levels</w:t>
      </w:r>
    </w:p>
    <w:p w14:paraId="7B01B8E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Author: Zhang Yuanshan</w:t>
      </w:r>
    </w:p>
    <w:p w14:paraId="3422E89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Date: 2026</w:t>
      </w:r>
    </w:p>
    <w:p w14:paraId="5C1D4B2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Description: Simulates S-value dynamics based on MICU ODE model.</w:t>
      </w:r>
    </w:p>
    <w:p w14:paraId="54C33D1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Fixed random seed for reproducibility.</w:t>
      </w:r>
    </w:p>
    <w:p w14:paraId="626AA43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import numpy as np</w:t>
      </w:r>
    </w:p>
    <w:p w14:paraId="6BAA2A8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from scipy.integrate import solve_ivp</w:t>
      </w:r>
    </w:p>
    <w:p w14:paraId="239AB21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import matplotlib.pyplot as plt</w:t>
      </w:r>
    </w:p>
    <w:p w14:paraId="14633AA1">
      <w:pPr>
        <w:spacing w:line="360" w:lineRule="auto"/>
        <w:rPr>
          <w:rFonts w:hint="default" w:ascii="Times New Roman" w:hAnsi="Times New Roman" w:cs="Times New Roman"/>
          <w:sz w:val="24"/>
          <w:szCs w:val="24"/>
        </w:rPr>
      </w:pPr>
    </w:p>
    <w:p w14:paraId="291E009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np.random.seed(42)  # ensure reproducibility</w:t>
      </w:r>
    </w:p>
    <w:p w14:paraId="77112C24">
      <w:pPr>
        <w:spacing w:line="360" w:lineRule="auto"/>
        <w:rPr>
          <w:rFonts w:hint="default" w:ascii="Times New Roman" w:hAnsi="Times New Roman" w:cs="Times New Roman"/>
          <w:sz w:val="24"/>
          <w:szCs w:val="24"/>
        </w:rPr>
      </w:pPr>
    </w:p>
    <w:p w14:paraId="1DD2D2C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Parameters with biological interpretation:</w:t>
      </w:r>
    </w:p>
    <w:p w14:paraId="3DDA190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r: Treg proliferation rate (theoretical)</w:t>
      </w:r>
    </w:p>
    <w:p w14:paraId="7240927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K: carrying capacity for Treg (theoretical)</w:t>
      </w:r>
    </w:p>
    <w:p w14:paraId="76EBC63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gamma: modulation coefficient of danger signal on S</w:t>
      </w:r>
    </w:p>
    <w:p w14:paraId="370FFEC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S_star: tissue‑dependent threshold</w:t>
      </w:r>
    </w:p>
    <w:p w14:paraId="372ED2C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lam: feedback strength from z variable</w:t>
      </w:r>
    </w:p>
    <w:p w14:paraId="284432A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eta: activation rate of z by danger signal</w:t>
      </w:r>
    </w:p>
    <w:p w14:paraId="3DB985D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delta: decay rate of z</w:t>
      </w:r>
    </w:p>
    <w:p w14:paraId="739A1AD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D_thr: danger signal threshold for z activation</w:t>
      </w:r>
    </w:p>
    <w:p w14:paraId="2A9CDD5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params = {</w:t>
      </w:r>
    </w:p>
    <w:p w14:paraId="5D7A8BA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'r': 0.05, 'K': 3.0, 'gamma': 0.3, 'S_star': 0.8,</w:t>
      </w:r>
    </w:p>
    <w:p w14:paraId="1579084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'lam': 0.2, 'eta': 0.15, 'delta': 0.03, 'D_thr': 0.7</w:t>
      </w:r>
    </w:p>
    <w:p w14:paraId="7511840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p>
    <w:p w14:paraId="50417518">
      <w:pPr>
        <w:spacing w:line="360" w:lineRule="auto"/>
        <w:rPr>
          <w:rFonts w:hint="default" w:ascii="Times New Roman" w:hAnsi="Times New Roman" w:cs="Times New Roman"/>
          <w:sz w:val="24"/>
          <w:szCs w:val="24"/>
        </w:rPr>
      </w:pPr>
    </w:p>
    <w:p w14:paraId="20394E1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def micu_ode(t, y, params, D):</w:t>
      </w:r>
    </w:p>
    <w:p w14:paraId="515C9DE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"""ODEs for S and z variables.</w:t>
      </w:r>
    </w:p>
    <w:p w14:paraId="1A2DCF1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dSdt: Treg proliferation, danger-driven decline, feedback from z.</w:t>
      </w:r>
    </w:p>
    <w:p w14:paraId="485E7BE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dzdt: danger-driven activation and decay.</w:t>
      </w:r>
    </w:p>
    <w:p w14:paraId="64875CD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45E7EC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S, z = y</w:t>
      </w:r>
    </w:p>
    <w:p w14:paraId="23FC295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D_plus = max(D - params['D_thr'], 0.0)</w:t>
      </w:r>
    </w:p>
    <w:p w14:paraId="4AE31BA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dSdt = (params['r'] * S * (1 - S/params['K'])</w:t>
      </w:r>
    </w:p>
    <w:p w14:paraId="292859D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 params['gamma'] * D * (S - params['S_star'])</w:t>
      </w:r>
    </w:p>
    <w:p w14:paraId="11A5B68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 params['lam'] * z * (params['S_star'] - S))</w:t>
      </w:r>
    </w:p>
    <w:p w14:paraId="199573B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dzdt = params['eta'] * D_plus * (1 - z) - params['delta'] * z</w:t>
      </w:r>
    </w:p>
    <w:p w14:paraId="69A6EC8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return [dSdt, dzdt]</w:t>
      </w:r>
    </w:p>
    <w:p w14:paraId="3D8F9113">
      <w:pPr>
        <w:spacing w:line="360" w:lineRule="auto"/>
        <w:rPr>
          <w:rFonts w:hint="default" w:ascii="Times New Roman" w:hAnsi="Times New Roman" w:cs="Times New Roman"/>
          <w:sz w:val="24"/>
          <w:szCs w:val="24"/>
        </w:rPr>
      </w:pPr>
    </w:p>
    <w:p w14:paraId="6B478AE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def simulate(params, D, t_max=200, init_S=2.5, init_z=0.05):</w:t>
      </w:r>
    </w:p>
    <w:p w14:paraId="5556030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sol = solve_ivp(lambda t, y: micu_ode(t, y, params, D),</w:t>
      </w:r>
    </w:p>
    <w:p w14:paraId="6453C12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(0, t_max), [init_S, init_z],</w:t>
      </w:r>
    </w:p>
    <w:p w14:paraId="021D64D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t_eval=np.linspace(0, t_max, 1000),</w:t>
      </w:r>
    </w:p>
    <w:p w14:paraId="3556588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method='RK45', rtol=1e-6)</w:t>
      </w:r>
    </w:p>
    <w:p w14:paraId="3B9A4F4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return sol.t, sol.y[0], sol.y[1]</w:t>
      </w:r>
    </w:p>
    <w:p w14:paraId="231AF86F">
      <w:pPr>
        <w:spacing w:line="360" w:lineRule="auto"/>
        <w:rPr>
          <w:rFonts w:hint="default" w:ascii="Times New Roman" w:hAnsi="Times New Roman" w:cs="Times New Roman"/>
          <w:sz w:val="24"/>
          <w:szCs w:val="24"/>
        </w:rPr>
      </w:pPr>
    </w:p>
    <w:p w14:paraId="7BD2B73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if __name__ == "__main__":</w:t>
      </w:r>
    </w:p>
    <w:p w14:paraId="65D1502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D_vals = [0.2, 0.6, 1.0, 1.5]</w:t>
      </w:r>
    </w:p>
    <w:p w14:paraId="2848C35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colors = ['blue', 'green', 'orange', 'red']</w:t>
      </w:r>
    </w:p>
    <w:p w14:paraId="359F9C5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plt.figure(figsize=(10,4))</w:t>
      </w:r>
    </w:p>
    <w:p w14:paraId="05D94A3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for Dv, col in zip(D_vals, colors):</w:t>
      </w:r>
    </w:p>
    <w:p w14:paraId="3C85DD2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 S, _ = simulate(params, Dv)</w:t>
      </w:r>
    </w:p>
    <w:p w14:paraId="424A999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plt.plot(t, S, color=col, label=f'D={Dv}')</w:t>
      </w:r>
    </w:p>
    <w:p w14:paraId="515D626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plt.axhline(params['S_star'], color='k', linestyle=':', label='S*')</w:t>
      </w:r>
    </w:p>
    <w:p w14:paraId="6557D45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plt.xlabel('Time (days)'); plt.ylabel('S value')</w:t>
      </w:r>
    </w:p>
    <w:p w14:paraId="13B2A49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plt.legend(); plt.title('S dynamics (theoretical simulation)')</w:t>
      </w:r>
    </w:p>
    <w:p w14:paraId="38DAB85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plt.tight_layout(); plt.savefig('S_dynamics.png', dpi=300)</w:t>
      </w:r>
    </w:p>
    <w:p w14:paraId="00905F0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 plt.show()  # Uncomment if graphical display is available</w:t>
      </w:r>
    </w:p>
    <w:p w14:paraId="725EE01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Environment dependencies: Python ≥3.7, numpy ≥1.19.0, scipy ≥1.5.0, matplotlib ≥3.3.0. For exact reproducibility, recommended versions: numpy 1.21.0, scipy 1.7.0, matplotlib 3.4.3.</w:t>
      </w:r>
    </w:p>
    <w:p w14:paraId="6ADFD0D5">
      <w:pPr>
        <w:spacing w:line="360" w:lineRule="auto"/>
        <w:rPr>
          <w:rFonts w:hint="default" w:ascii="Times New Roman" w:hAnsi="Times New Roman" w:cs="Times New Roman"/>
          <w:sz w:val="24"/>
          <w:szCs w:val="24"/>
        </w:rPr>
      </w:pPr>
    </w:p>
    <w:p w14:paraId="043F221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2.4 MATLAB simulation code (basic version)</w:t>
      </w:r>
    </w:p>
    <w:p w14:paraId="30287386">
      <w:pPr>
        <w:spacing w:line="360" w:lineRule="auto"/>
        <w:rPr>
          <w:rFonts w:hint="default" w:ascii="Times New Roman" w:hAnsi="Times New Roman" w:cs="Times New Roman"/>
          <w:sz w:val="24"/>
          <w:szCs w:val="24"/>
        </w:rPr>
      </w:pPr>
    </w:p>
    <w:p w14:paraId="465F706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matlab</w:t>
      </w:r>
    </w:p>
    <w:p w14:paraId="1FA4A4F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S_dynamics_simulation.m</w:t>
      </w:r>
    </w:p>
    <w:p w14:paraId="0A0BBC6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Theoretical example: S‑value dynamics under different danger signal levels</w:t>
      </w:r>
    </w:p>
    <w:p w14:paraId="590E0FE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Author: Zhang Yuanshan</w:t>
      </w:r>
    </w:p>
    <w:p w14:paraId="74AB22F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Date: 2026</w:t>
      </w:r>
    </w:p>
    <w:p w14:paraId="307F501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Description: Simulates S-value dynamics based on MICU ODE model.</w:t>
      </w:r>
    </w:p>
    <w:p w14:paraId="05E946B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clear; clc; close all;</w:t>
      </w:r>
    </w:p>
    <w:p w14:paraId="2D067FC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rng(42); % fixed seed for reproducibility</w:t>
      </w:r>
    </w:p>
    <w:p w14:paraId="44411AB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params.r = 0.05; params.K = 3.0; params.gamma = 0.3; params.S_star = 0.8;</w:t>
      </w:r>
    </w:p>
    <w:p w14:paraId="685ABA6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params.lam = 0.2; params.eta = 0.15; params.delta = 0.03; params.D_thr = 0.7;</w:t>
      </w:r>
    </w:p>
    <w:p w14:paraId="1C9842F9">
      <w:pPr>
        <w:spacing w:line="360" w:lineRule="auto"/>
        <w:rPr>
          <w:rFonts w:hint="default" w:ascii="Times New Roman" w:hAnsi="Times New Roman" w:cs="Times New Roman"/>
          <w:sz w:val="24"/>
          <w:szCs w:val="24"/>
        </w:rPr>
      </w:pPr>
    </w:p>
    <w:p w14:paraId="23CA753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odefun = @(t, y, D) [</w:t>
      </w:r>
    </w:p>
    <w:p w14:paraId="2C50139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params.r * y(1) * (1 - y(1)/params.K) ...</w:t>
      </w:r>
    </w:p>
    <w:p w14:paraId="58E4F16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 params.gamma * D * (y(1) - params.S_star) ...</w:t>
      </w:r>
    </w:p>
    <w:p w14:paraId="18BC65A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 params.lam * y(2) * (params.S_star - y(1));</w:t>
      </w:r>
    </w:p>
    <w:p w14:paraId="41BEEC5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params.eta * max(D - params.D_thr, 0) * (1 - y(2)) - params.delta * y(2)</w:t>
      </w:r>
    </w:p>
    <w:p w14:paraId="42B48E7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p>
    <w:p w14:paraId="2676DF6F">
      <w:pPr>
        <w:spacing w:line="360" w:lineRule="auto"/>
        <w:rPr>
          <w:rFonts w:hint="default" w:ascii="Times New Roman" w:hAnsi="Times New Roman" w:cs="Times New Roman"/>
          <w:sz w:val="24"/>
          <w:szCs w:val="24"/>
        </w:rPr>
      </w:pPr>
    </w:p>
    <w:p w14:paraId="48383EE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simulate = @(D, tspan) ode45(@(t, y) odefun(t, y, D), tspan, [2.5; 0.05]);</w:t>
      </w:r>
    </w:p>
    <w:p w14:paraId="13E2ECB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D_vals = [0.2, 0.6, 1.0, 1.5]; tspan = [0 200];</w:t>
      </w:r>
    </w:p>
    <w:p w14:paraId="637B2ED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figure; hold on;</w:t>
      </w:r>
    </w:p>
    <w:p w14:paraId="2A9EA92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for i = 1:length(D_vals)</w:t>
      </w:r>
    </w:p>
    <w:p w14:paraId="61FB395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 y] = simulate(D_vals(i), tspan);</w:t>
      </w:r>
    </w:p>
    <w:p w14:paraId="1DF8C7A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plot(t, y(:,1), 'DisplayName', sprintf('D=%.1f', D_vals(i)));</w:t>
      </w:r>
    </w:p>
    <w:p w14:paraId="66E99E6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end</w:t>
      </w:r>
    </w:p>
    <w:p w14:paraId="4A87097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yline(params.S_star, 'k--', 'S*'); xlabel('Time (days)'); ylabel('S value');</w:t>
      </w:r>
    </w:p>
    <w:p w14:paraId="38D1417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legend; title('S dynamics (theoretical simulation)');</w:t>
      </w:r>
    </w:p>
    <w:p w14:paraId="5BED9AD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saveas(gcf, 'S_dynamics_matlab.png');</w:t>
      </w:r>
    </w:p>
    <w:p w14:paraId="36798A6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Environment dependencies: MATLAB R2015b or later; Signal Processing Toolbox required for extended use.</w:t>
      </w:r>
    </w:p>
    <w:p w14:paraId="63D3FE31">
      <w:pPr>
        <w:spacing w:line="360" w:lineRule="auto"/>
        <w:rPr>
          <w:rFonts w:hint="default" w:ascii="Times New Roman" w:hAnsi="Times New Roman" w:cs="Times New Roman"/>
          <w:sz w:val="24"/>
          <w:szCs w:val="24"/>
        </w:rPr>
      </w:pPr>
    </w:p>
    <w:p w14:paraId="09FAEB3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2.5 Guidance for multi‑clone extension (for computational immunologists)</w:t>
      </w:r>
    </w:p>
    <w:p w14:paraId="3EB9C5DF">
      <w:pPr>
        <w:spacing w:line="360" w:lineRule="auto"/>
        <w:rPr>
          <w:rFonts w:hint="default" w:ascii="Times New Roman" w:hAnsi="Times New Roman" w:cs="Times New Roman"/>
          <w:sz w:val="24"/>
          <w:szCs w:val="24"/>
        </w:rPr>
      </w:pPr>
    </w:p>
    <w:p w14:paraId="762FA71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To extend to a multi‑clone Kuramoto model, the core idea is to construct phase equations for N clones:</w:t>
      </w:r>
    </w:p>
    <w:p w14:paraId="50943E69">
      <w:pPr>
        <w:spacing w:line="360" w:lineRule="auto"/>
        <w:rPr>
          <w:rFonts w:hint="default" w:ascii="Times New Roman" w:hAnsi="Times New Roman" w:cs="Times New Roman"/>
          <w:sz w:val="24"/>
          <w:szCs w:val="24"/>
        </w:rPr>
      </w:pPr>
    </w:p>
    <w:p w14:paraId="6D4D55D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dθ_i/dt = ω_i + (K/N) Σ sin(θ_j − θ_i) + ξ_i(t)</w:t>
      </w:r>
    </w:p>
    <w:p w14:paraId="6BE997FB">
      <w:pPr>
        <w:spacing w:line="360" w:lineRule="auto"/>
        <w:rPr>
          <w:rFonts w:hint="default" w:ascii="Times New Roman" w:hAnsi="Times New Roman" w:cs="Times New Roman"/>
          <w:sz w:val="24"/>
          <w:szCs w:val="24"/>
        </w:rPr>
      </w:pPr>
    </w:p>
    <w:p w14:paraId="594E072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where ω_i is related to the clone’s antigen affinity. Clone‑specific parameters (e.g., naive T cell frequency, Treg/Teff ratio) can be introduced. Coupling strength K is defined in the main text. For parameterisation, refer to classic literature in computational immunology.</w:t>
      </w:r>
    </w:p>
    <w:p w14:paraId="1875E03C">
      <w:pPr>
        <w:spacing w:line="360" w:lineRule="auto"/>
        <w:rPr>
          <w:rFonts w:hint="default" w:ascii="Times New Roman" w:hAnsi="Times New Roman" w:cs="Times New Roman"/>
          <w:sz w:val="24"/>
          <w:szCs w:val="24"/>
        </w:rPr>
      </w:pPr>
    </w:p>
    <w:p w14:paraId="52D0A20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Detailed animal model protocol for validation (LCMV+OVA)</w:t>
      </w:r>
    </w:p>
    <w:p w14:paraId="0B72B48B">
      <w:pPr>
        <w:spacing w:line="360" w:lineRule="auto"/>
        <w:rPr>
          <w:rFonts w:hint="default" w:ascii="Times New Roman" w:hAnsi="Times New Roman" w:cs="Times New Roman"/>
          <w:sz w:val="24"/>
          <w:szCs w:val="24"/>
        </w:rPr>
      </w:pPr>
    </w:p>
    <w:p w14:paraId="1E5676D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Ethics statement: All animal experiments must be approved by the institutional animal care and use committee (IACUC) and follow the ARRIVE guidelines. The following protocol is a theoretical design and must not be carried out without ethical approval.</w:t>
      </w:r>
    </w:p>
    <w:p w14:paraId="0F3CA59E">
      <w:pPr>
        <w:spacing w:line="360" w:lineRule="auto"/>
        <w:rPr>
          <w:rFonts w:hint="default" w:ascii="Times New Roman" w:hAnsi="Times New Roman" w:cs="Times New Roman"/>
          <w:sz w:val="24"/>
          <w:szCs w:val="24"/>
        </w:rPr>
      </w:pPr>
    </w:p>
    <w:p w14:paraId="4A7B153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3.1 Purpose</w:t>
      </w:r>
    </w:p>
    <w:p w14:paraId="379EA107">
      <w:pPr>
        <w:spacing w:line="360" w:lineRule="auto"/>
        <w:rPr>
          <w:rFonts w:hint="default" w:ascii="Times New Roman" w:hAnsi="Times New Roman" w:cs="Times New Roman"/>
          <w:sz w:val="24"/>
          <w:szCs w:val="24"/>
        </w:rPr>
      </w:pPr>
    </w:p>
    <w:p w14:paraId="2A87C35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To validate the dual‑factor entry rule (D &gt; D₁ and local IL‑2 &gt; 10 pM) and to test the contribution of bystander IL‑2 sources.</w:t>
      </w:r>
    </w:p>
    <w:p w14:paraId="35BAF70E">
      <w:pPr>
        <w:spacing w:line="360" w:lineRule="auto"/>
        <w:rPr>
          <w:rFonts w:hint="default" w:ascii="Times New Roman" w:hAnsi="Times New Roman" w:cs="Times New Roman"/>
          <w:sz w:val="24"/>
          <w:szCs w:val="24"/>
        </w:rPr>
      </w:pPr>
    </w:p>
    <w:p w14:paraId="1CFEB61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3.2 Animals and groups</w:t>
      </w:r>
    </w:p>
    <w:p w14:paraId="25FA5DA2">
      <w:pPr>
        <w:spacing w:line="360" w:lineRule="auto"/>
        <w:rPr>
          <w:rFonts w:hint="default" w:ascii="Times New Roman" w:hAnsi="Times New Roman" w:cs="Times New Roman"/>
          <w:sz w:val="24"/>
          <w:szCs w:val="24"/>
        </w:rPr>
      </w:pPr>
    </w:p>
    <w:p w14:paraId="1235169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Strain: C57BL/6 mice, 6‑8 weeks old, equal numbers of males and females</w:t>
      </w:r>
    </w:p>
    <w:p w14:paraId="0C2DEE53">
      <w:pPr>
        <w:spacing w:line="360" w:lineRule="auto"/>
        <w:rPr>
          <w:rFonts w:hint="default" w:ascii="Times New Roman" w:hAnsi="Times New Roman" w:cs="Times New Roman"/>
          <w:sz w:val="24"/>
          <w:szCs w:val="24"/>
        </w:rPr>
      </w:pPr>
    </w:p>
    <w:p w14:paraId="1180124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Groups (n ≥ 6 per group):</w:t>
      </w:r>
    </w:p>
    <w:p w14:paraId="1600D7C0">
      <w:pPr>
        <w:spacing w:line="360" w:lineRule="auto"/>
        <w:rPr>
          <w:rFonts w:hint="default" w:ascii="Times New Roman" w:hAnsi="Times New Roman" w:cs="Times New Roman"/>
          <w:sz w:val="24"/>
          <w:szCs w:val="24"/>
        </w:rPr>
      </w:pPr>
    </w:p>
    <w:p w14:paraId="0556919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Control group: LCMV Armstrong (2×10⁵ PFU, i.p.) on day 0</w:t>
      </w:r>
    </w:p>
    <w:p w14:paraId="13DA8AE2">
      <w:pPr>
        <w:spacing w:line="360" w:lineRule="auto"/>
        <w:rPr>
          <w:rFonts w:hint="default" w:ascii="Times New Roman" w:hAnsi="Times New Roman" w:cs="Times New Roman"/>
          <w:sz w:val="24"/>
          <w:szCs w:val="24"/>
        </w:rPr>
      </w:pPr>
    </w:p>
    <w:p w14:paraId="72733FF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Low/medium/high danger signal groups: LPS added on day 7 at 0.1, 1, or 10 μg/kg</w:t>
      </w:r>
    </w:p>
    <w:p w14:paraId="2DF0CE24">
      <w:pPr>
        <w:spacing w:line="360" w:lineRule="auto"/>
        <w:rPr>
          <w:rFonts w:hint="default" w:ascii="Times New Roman" w:hAnsi="Times New Roman" w:cs="Times New Roman"/>
          <w:sz w:val="24"/>
          <w:szCs w:val="24"/>
        </w:rPr>
      </w:pPr>
    </w:p>
    <w:p w14:paraId="7879FEA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IL‑2 blockade group: Medium‑dose LPS + LCMV + anti‑IL‑2 antibody (10 μg/mouse, i.p., administered on day 6 after LCMV infection)</w:t>
      </w:r>
    </w:p>
    <w:p w14:paraId="3134605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Antibody dose validation: Pre‑experiments must confirm that the antibody reduces peripheral blood IL‑2 concentration to &lt;20% of control (ELISA), ensuring &gt;80% blocking efficiency</w:t>
      </w:r>
    </w:p>
    <w:p w14:paraId="3F2BDD2D">
      <w:pPr>
        <w:spacing w:line="360" w:lineRule="auto"/>
        <w:rPr>
          <w:rFonts w:hint="default" w:ascii="Times New Roman" w:hAnsi="Times New Roman" w:cs="Times New Roman"/>
          <w:sz w:val="24"/>
          <w:szCs w:val="24"/>
        </w:rPr>
      </w:pPr>
    </w:p>
    <w:p w14:paraId="3888EB6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No‑LCMV control: LPS alone or PBS</w:t>
      </w:r>
    </w:p>
    <w:p w14:paraId="6BF5753D">
      <w:pPr>
        <w:spacing w:line="360" w:lineRule="auto"/>
        <w:rPr>
          <w:rFonts w:hint="default" w:ascii="Times New Roman" w:hAnsi="Times New Roman" w:cs="Times New Roman"/>
          <w:sz w:val="24"/>
          <w:szCs w:val="24"/>
        </w:rPr>
      </w:pPr>
    </w:p>
    <w:p w14:paraId="701B9E3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3.3 Neo‑antigen presentation</w:t>
      </w:r>
    </w:p>
    <w:p w14:paraId="08DE56C7">
      <w:pPr>
        <w:spacing w:line="360" w:lineRule="auto"/>
        <w:rPr>
          <w:rFonts w:hint="default" w:ascii="Times New Roman" w:hAnsi="Times New Roman" w:cs="Times New Roman"/>
          <w:sz w:val="24"/>
          <w:szCs w:val="24"/>
        </w:rPr>
      </w:pPr>
    </w:p>
    <w:p w14:paraId="7B52F23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On day 7, inject OVA (100 μg) + CpG (50 μg) via tail vein. On days 10, 14, and 21, collect spleen and lymph nodes; detect OVA‑specific CD8⁺ T cells by flow cytometry using H‑2Kb/SIINFEKL pentamers.</w:t>
      </w:r>
    </w:p>
    <w:p w14:paraId="3AAD4731">
      <w:pPr>
        <w:spacing w:line="360" w:lineRule="auto"/>
        <w:rPr>
          <w:rFonts w:hint="default" w:ascii="Times New Roman" w:hAnsi="Times New Roman" w:cs="Times New Roman"/>
          <w:sz w:val="24"/>
          <w:szCs w:val="24"/>
        </w:rPr>
      </w:pPr>
    </w:p>
    <w:p w14:paraId="0CB86BA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3.4 Determination of the D₁ threshold</w:t>
      </w:r>
    </w:p>
    <w:p w14:paraId="188EB8D8">
      <w:pPr>
        <w:spacing w:line="360" w:lineRule="auto"/>
        <w:rPr>
          <w:rFonts w:hint="default" w:ascii="Times New Roman" w:hAnsi="Times New Roman" w:cs="Times New Roman"/>
          <w:sz w:val="24"/>
          <w:szCs w:val="24"/>
        </w:rPr>
      </w:pPr>
    </w:p>
    <w:p w14:paraId="6B4C1D2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Six hours after LPS injection on day 7, collect lymph nodes and measure CD80/CD86 MFI on APCs (CD11c⁺MHC‑II⁺). Define D₁ as the minimal LPS dose at which MFI first exceeds twice that of the PBS group (linear interpolation). Theoretical example: 1 μg/kg.</w:t>
      </w:r>
    </w:p>
    <w:p w14:paraId="1E848F20">
      <w:pPr>
        <w:spacing w:line="360" w:lineRule="auto"/>
        <w:rPr>
          <w:rFonts w:hint="default" w:ascii="Times New Roman" w:hAnsi="Times New Roman" w:cs="Times New Roman"/>
          <w:sz w:val="24"/>
          <w:szCs w:val="24"/>
        </w:rPr>
      </w:pPr>
    </w:p>
    <w:p w14:paraId="2518752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Quantification of danger signal load: Simultaneously measure serum CRP and IL‑6 levels; establish a linear relationship between LPS dose and these markers, and use marker concentrations as a quantitative measure of danger signal load to increase objectivity of the D₁ determination.</w:t>
      </w:r>
    </w:p>
    <w:p w14:paraId="3B68E6A6">
      <w:pPr>
        <w:spacing w:line="360" w:lineRule="auto"/>
        <w:rPr>
          <w:rFonts w:hint="default" w:ascii="Times New Roman" w:hAnsi="Times New Roman" w:cs="Times New Roman"/>
          <w:sz w:val="24"/>
          <w:szCs w:val="24"/>
        </w:rPr>
      </w:pPr>
    </w:p>
    <w:p w14:paraId="7897489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3.5 Local IL‑2 detection</w:t>
      </w:r>
    </w:p>
    <w:p w14:paraId="28EB9287">
      <w:pPr>
        <w:spacing w:line="360" w:lineRule="auto"/>
        <w:rPr>
          <w:rFonts w:hint="default" w:ascii="Times New Roman" w:hAnsi="Times New Roman" w:cs="Times New Roman"/>
          <w:sz w:val="24"/>
          <w:szCs w:val="24"/>
        </w:rPr>
      </w:pPr>
    </w:p>
    <w:p w14:paraId="659F14D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Microdialysis: CMA 20‑40 kDa probe inserted into a lymph node or inflammatory focus (depth 1 mm), perfused at 1 μL/min, samples collected every 30 min for 6 h</w:t>
      </w:r>
    </w:p>
    <w:p w14:paraId="7FB2EE32">
      <w:pPr>
        <w:spacing w:line="360" w:lineRule="auto"/>
        <w:rPr>
          <w:rFonts w:hint="default" w:ascii="Times New Roman" w:hAnsi="Times New Roman" w:cs="Times New Roman"/>
          <w:sz w:val="24"/>
          <w:szCs w:val="24"/>
        </w:rPr>
      </w:pPr>
    </w:p>
    <w:p w14:paraId="352F5E9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Recovery calibration: In vitro recovery ~30%. In vivo recovery is affected by tissue blood flow and probe placement; calibrate by retro‑dialysis: add a known concentration of IL‑2 to the perfusate and measure the loss in the dialysate to calculate in vivo recovery</w:t>
      </w:r>
    </w:p>
    <w:p w14:paraId="2ECB2319">
      <w:pPr>
        <w:spacing w:line="360" w:lineRule="auto"/>
        <w:rPr>
          <w:rFonts w:hint="default" w:ascii="Times New Roman" w:hAnsi="Times New Roman" w:cs="Times New Roman"/>
          <w:sz w:val="24"/>
          <w:szCs w:val="24"/>
        </w:rPr>
      </w:pPr>
    </w:p>
    <w:p w14:paraId="680AF74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ELISA detection: Sensitivity &lt;0.5 pM</w:t>
      </w:r>
    </w:p>
    <w:p w14:paraId="624C66A1">
      <w:pPr>
        <w:spacing w:line="360" w:lineRule="auto"/>
        <w:rPr>
          <w:rFonts w:hint="default" w:ascii="Times New Roman" w:hAnsi="Times New Roman" w:cs="Times New Roman"/>
          <w:sz w:val="24"/>
          <w:szCs w:val="24"/>
        </w:rPr>
      </w:pPr>
    </w:p>
    <w:p w14:paraId="47918DB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Warning: Local IL‑2 concentration reflects the synaptic cleft level, consistent with the positioning in the main text that peripheral blood IL‑2 is a spillover signal.</w:t>
      </w:r>
    </w:p>
    <w:p w14:paraId="5BAAA6A2">
      <w:pPr>
        <w:spacing w:line="360" w:lineRule="auto"/>
        <w:rPr>
          <w:rFonts w:hint="default" w:ascii="Times New Roman" w:hAnsi="Times New Roman" w:cs="Times New Roman"/>
          <w:sz w:val="24"/>
          <w:szCs w:val="24"/>
        </w:rPr>
      </w:pPr>
    </w:p>
    <w:p w14:paraId="3E63D21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3.6 Expected results</w:t>
      </w:r>
    </w:p>
    <w:p w14:paraId="7051CFFB">
      <w:pPr>
        <w:spacing w:line="360" w:lineRule="auto"/>
        <w:rPr>
          <w:rFonts w:hint="default" w:ascii="Times New Roman" w:hAnsi="Times New Roman" w:cs="Times New Roman"/>
          <w:sz w:val="24"/>
          <w:szCs w:val="24"/>
        </w:rPr>
      </w:pPr>
    </w:p>
    <w:p w14:paraId="0ABFE21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Medium/high LPS + LCMV groups: OVA‑specific CD8⁺ T cell expansion fold change ≥3 (significant expansion), peak at days 12‑14 (synchronous activation)</w:t>
      </w:r>
    </w:p>
    <w:p w14:paraId="48C3179A">
      <w:pPr>
        <w:spacing w:line="360" w:lineRule="auto"/>
        <w:rPr>
          <w:rFonts w:hint="default" w:ascii="Times New Roman" w:hAnsi="Times New Roman" w:cs="Times New Roman"/>
          <w:sz w:val="24"/>
          <w:szCs w:val="24"/>
        </w:rPr>
      </w:pPr>
    </w:p>
    <w:p w14:paraId="7742FDC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Low LPS + LCMV and IL‑2 blockade groups: Expansion delayed by 3‑5 days, peak reduction ≥50% (delayed entrainment)</w:t>
      </w:r>
    </w:p>
    <w:p w14:paraId="36277F1E">
      <w:pPr>
        <w:spacing w:line="360" w:lineRule="auto"/>
        <w:rPr>
          <w:rFonts w:hint="default" w:ascii="Times New Roman" w:hAnsi="Times New Roman" w:cs="Times New Roman"/>
          <w:sz w:val="24"/>
          <w:szCs w:val="24"/>
        </w:rPr>
      </w:pPr>
    </w:p>
    <w:p w14:paraId="1294FB6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LPS alone (no LCMV) group: No response (OVA‑specific T cells &lt;0.1%)</w:t>
      </w:r>
    </w:p>
    <w:p w14:paraId="5103BEC0">
      <w:pPr>
        <w:spacing w:line="360" w:lineRule="auto"/>
        <w:rPr>
          <w:rFonts w:hint="default" w:ascii="Times New Roman" w:hAnsi="Times New Roman" w:cs="Times New Roman"/>
          <w:sz w:val="24"/>
          <w:szCs w:val="24"/>
        </w:rPr>
      </w:pPr>
    </w:p>
    <w:p w14:paraId="6E1ABF3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Standardised S_clin detection workflow and supplementary notes on sCD25</w:t>
      </w:r>
    </w:p>
    <w:p w14:paraId="10CC11C5">
      <w:pPr>
        <w:spacing w:line="360" w:lineRule="auto"/>
        <w:rPr>
          <w:rFonts w:hint="default" w:ascii="Times New Roman" w:hAnsi="Times New Roman" w:cs="Times New Roman"/>
          <w:sz w:val="24"/>
          <w:szCs w:val="24"/>
        </w:rPr>
      </w:pPr>
    </w:p>
    <w:p w14:paraId="46A6F04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4.1 Samples and antibodies</w:t>
      </w:r>
    </w:p>
    <w:p w14:paraId="1F48758D">
      <w:pPr>
        <w:spacing w:line="360" w:lineRule="auto"/>
        <w:rPr>
          <w:rFonts w:hint="default" w:ascii="Times New Roman" w:hAnsi="Times New Roman" w:cs="Times New Roman"/>
          <w:sz w:val="24"/>
          <w:szCs w:val="24"/>
        </w:rPr>
      </w:pPr>
    </w:p>
    <w:p w14:paraId="490DAC1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Sample: Peripheral blood with EDTA anticoagulation, processed within 2 h</w:t>
      </w:r>
    </w:p>
    <w:p w14:paraId="2980172D">
      <w:pPr>
        <w:spacing w:line="360" w:lineRule="auto"/>
        <w:rPr>
          <w:rFonts w:hint="default" w:ascii="Times New Roman" w:hAnsi="Times New Roman" w:cs="Times New Roman"/>
          <w:sz w:val="24"/>
          <w:szCs w:val="24"/>
        </w:rPr>
      </w:pPr>
    </w:p>
    <w:p w14:paraId="4E957D1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Treg panel: CD3‑FITC, CD4‑PerCP‑Cy5.5, CD25‑PE, Foxp3‑APC</w:t>
      </w:r>
    </w:p>
    <w:p w14:paraId="61F47344">
      <w:pPr>
        <w:spacing w:line="360" w:lineRule="auto"/>
        <w:rPr>
          <w:rFonts w:hint="default" w:ascii="Times New Roman" w:hAnsi="Times New Roman" w:cs="Times New Roman"/>
          <w:sz w:val="24"/>
          <w:szCs w:val="24"/>
        </w:rPr>
      </w:pPr>
    </w:p>
    <w:p w14:paraId="3557239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Tpex panel: CD3‑FITC, CD4‑PerCP‑Cy5.5, CD45RO‑PE‑Cy7, PD‑1‑BV421, TCF‑1‑AF647</w:t>
      </w:r>
    </w:p>
    <w:p w14:paraId="70034CE2">
      <w:pPr>
        <w:spacing w:line="360" w:lineRule="auto"/>
        <w:rPr>
          <w:rFonts w:hint="default" w:ascii="Times New Roman" w:hAnsi="Times New Roman" w:cs="Times New Roman"/>
          <w:sz w:val="24"/>
          <w:szCs w:val="24"/>
        </w:rPr>
      </w:pPr>
    </w:p>
    <w:p w14:paraId="2EC17E6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4.2 Gating and calculation</w:t>
      </w:r>
    </w:p>
    <w:p w14:paraId="40EBAC74">
      <w:pPr>
        <w:spacing w:line="360" w:lineRule="auto"/>
        <w:rPr>
          <w:rFonts w:hint="default" w:ascii="Times New Roman" w:hAnsi="Times New Roman" w:cs="Times New Roman"/>
          <w:sz w:val="24"/>
          <w:szCs w:val="24"/>
        </w:rPr>
      </w:pPr>
    </w:p>
    <w:p w14:paraId="2E25B4A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Lymphocytes (FSC‑A/SSC‑A) → single cells (FSC‑H/FSC‑A) → CD3⁺CD4⁺</w:t>
      </w:r>
    </w:p>
    <w:p w14:paraId="6D95D859">
      <w:pPr>
        <w:spacing w:line="360" w:lineRule="auto"/>
        <w:rPr>
          <w:rFonts w:hint="default" w:ascii="Times New Roman" w:hAnsi="Times New Roman" w:cs="Times New Roman"/>
          <w:sz w:val="24"/>
          <w:szCs w:val="24"/>
        </w:rPr>
      </w:pPr>
    </w:p>
    <w:p w14:paraId="1C5F367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Treg% = CD4⁺CD25⁺Foxp3⁺ / CD4⁺</w:t>
      </w:r>
    </w:p>
    <w:p w14:paraId="4E7DCF7A">
      <w:pPr>
        <w:spacing w:line="360" w:lineRule="auto"/>
        <w:rPr>
          <w:rFonts w:hint="default" w:ascii="Times New Roman" w:hAnsi="Times New Roman" w:cs="Times New Roman"/>
          <w:sz w:val="24"/>
          <w:szCs w:val="24"/>
        </w:rPr>
      </w:pPr>
    </w:p>
    <w:p w14:paraId="6587C00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Tpex% = CD4⁺CD45RO⁺PD‑1⁺TCF‑1⁺ / CD4⁺</w:t>
      </w:r>
    </w:p>
    <w:p w14:paraId="7423443A">
      <w:pPr>
        <w:spacing w:line="360" w:lineRule="auto"/>
        <w:rPr>
          <w:rFonts w:hint="default" w:ascii="Times New Roman" w:hAnsi="Times New Roman" w:cs="Times New Roman"/>
          <w:sz w:val="24"/>
          <w:szCs w:val="24"/>
        </w:rPr>
      </w:pPr>
    </w:p>
    <w:p w14:paraId="356AEB9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S_clin = Treg% / Tpex%</w:t>
      </w:r>
    </w:p>
    <w:p w14:paraId="0EAD850B">
      <w:pPr>
        <w:spacing w:line="360" w:lineRule="auto"/>
        <w:rPr>
          <w:rFonts w:hint="default" w:ascii="Times New Roman" w:hAnsi="Times New Roman" w:cs="Times New Roman"/>
          <w:sz w:val="24"/>
          <w:szCs w:val="24"/>
        </w:rPr>
      </w:pPr>
    </w:p>
    <w:p w14:paraId="7B154E2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Cross‑individual comparison correction: Because both Treg% and Tpex% are calculated within CD4⁺ cells, we recommend measuring absolute CD4⁺ counts (e.g., using BD Trucount tubes). Corrected S_clin,adj = (absolute Treg count / absolute CD4 count) / (absolute Tpex count / absolute CD4 count), or directly use the ratio of absolute Treg to absolute Tpex, to eliminate the influence of total CD4⁺ T cell count fluctuations.</w:t>
      </w:r>
    </w:p>
    <w:p w14:paraId="662E1E9F">
      <w:pPr>
        <w:spacing w:line="360" w:lineRule="auto"/>
        <w:rPr>
          <w:rFonts w:hint="default" w:ascii="Times New Roman" w:hAnsi="Times New Roman" w:cs="Times New Roman"/>
          <w:sz w:val="24"/>
          <w:szCs w:val="24"/>
        </w:rPr>
      </w:pPr>
    </w:p>
    <w:p w14:paraId="22BC2F6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Warning: For research monitoring only; strictly forbidden for clinical decision‑making.</w:t>
      </w:r>
    </w:p>
    <w:p w14:paraId="401FF9C0">
      <w:pPr>
        <w:spacing w:line="360" w:lineRule="auto"/>
        <w:rPr>
          <w:rFonts w:hint="default" w:ascii="Times New Roman" w:hAnsi="Times New Roman" w:cs="Times New Roman"/>
          <w:sz w:val="24"/>
          <w:szCs w:val="24"/>
        </w:rPr>
      </w:pPr>
    </w:p>
    <w:p w14:paraId="46D6A5C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4.3 Quality control</w:t>
      </w:r>
    </w:p>
    <w:p w14:paraId="2392BC92">
      <w:pPr>
        <w:spacing w:line="360" w:lineRule="auto"/>
        <w:rPr>
          <w:rFonts w:hint="default" w:ascii="Times New Roman" w:hAnsi="Times New Roman" w:cs="Times New Roman"/>
          <w:sz w:val="24"/>
          <w:szCs w:val="24"/>
        </w:rPr>
      </w:pPr>
    </w:p>
    <w:p w14:paraId="0247F09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Weekly calibration with fluorescent beads</w:t>
      </w:r>
    </w:p>
    <w:p w14:paraId="00774E64">
      <w:pPr>
        <w:spacing w:line="360" w:lineRule="auto"/>
        <w:rPr>
          <w:rFonts w:hint="default" w:ascii="Times New Roman" w:hAnsi="Times New Roman" w:cs="Times New Roman"/>
          <w:sz w:val="24"/>
          <w:szCs w:val="24"/>
        </w:rPr>
      </w:pPr>
    </w:p>
    <w:p w14:paraId="75B02AD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Same instrument, voltage, and compensation matrix</w:t>
      </w:r>
    </w:p>
    <w:p w14:paraId="47F3FC1E">
      <w:pPr>
        <w:spacing w:line="360" w:lineRule="auto"/>
        <w:rPr>
          <w:rFonts w:hint="default" w:ascii="Times New Roman" w:hAnsi="Times New Roman" w:cs="Times New Roman"/>
          <w:sz w:val="24"/>
          <w:szCs w:val="24"/>
        </w:rPr>
      </w:pPr>
    </w:p>
    <w:p w14:paraId="64598C8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Use frozen PBMC batch controls for cross‑week comparisons</w:t>
      </w:r>
    </w:p>
    <w:p w14:paraId="099E95C2">
      <w:pPr>
        <w:spacing w:line="360" w:lineRule="auto"/>
        <w:rPr>
          <w:rFonts w:hint="default" w:ascii="Times New Roman" w:hAnsi="Times New Roman" w:cs="Times New Roman"/>
          <w:sz w:val="24"/>
          <w:szCs w:val="24"/>
        </w:rPr>
      </w:pPr>
    </w:p>
    <w:p w14:paraId="5CFA52D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4.4 Supplementary sCD25 detection (optional)</w:t>
      </w:r>
    </w:p>
    <w:p w14:paraId="5A36DC16">
      <w:pPr>
        <w:spacing w:line="360" w:lineRule="auto"/>
        <w:rPr>
          <w:rFonts w:hint="default" w:ascii="Times New Roman" w:hAnsi="Times New Roman" w:cs="Times New Roman"/>
          <w:sz w:val="24"/>
          <w:szCs w:val="24"/>
        </w:rPr>
      </w:pPr>
    </w:p>
    <w:p w14:paraId="5C6B95A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Principle: sCD25 (soluble CD25) is produced by proteolytic cleavage of membrane‑bound CD25. Its serum level is elevated in states of excessive T cell activation or IL‑2 consumption. The peak of sCD25 usually lags behind the IL‑2 peak, serving as an auxiliary indicator for the onset of the contraction phase.</w:t>
      </w:r>
    </w:p>
    <w:p w14:paraId="60BEFF8D">
      <w:pPr>
        <w:spacing w:line="360" w:lineRule="auto"/>
        <w:rPr>
          <w:rFonts w:hint="default" w:ascii="Times New Roman" w:hAnsi="Times New Roman" w:cs="Times New Roman"/>
          <w:sz w:val="24"/>
          <w:szCs w:val="24"/>
        </w:rPr>
      </w:pPr>
    </w:p>
    <w:p w14:paraId="550216D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Method: Commercial ELISA kit (e.g., R&amp;D Systems DY2230), follow the manufacturer’s instructions. It is recommended to measure simultaneously with free IL‑2 and analyse the combination.</w:t>
      </w:r>
    </w:p>
    <w:p w14:paraId="56DA5839">
      <w:pPr>
        <w:spacing w:line="360" w:lineRule="auto"/>
        <w:rPr>
          <w:rFonts w:hint="default" w:ascii="Times New Roman" w:hAnsi="Times New Roman" w:cs="Times New Roman"/>
          <w:sz w:val="24"/>
          <w:szCs w:val="24"/>
        </w:rPr>
      </w:pPr>
    </w:p>
    <w:p w14:paraId="6C99060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Threshold calibration: The sCD25 threshold should be calibrated by comparing healthy and diseased populations. We suggest first conducting a small‑scale pilot experiment (n ≥ 30 per group), drawing an ROC curve to determine the optimal cut‑off, and then validating with an independent large‑sample cohort. Theoretical example values (mouse &gt;800 pg/mL, human &gt;2500 pg/mL) are only for reference.</w:t>
      </w:r>
    </w:p>
    <w:p w14:paraId="3A960A1F">
      <w:pPr>
        <w:spacing w:line="360" w:lineRule="auto"/>
        <w:rPr>
          <w:rFonts w:hint="default" w:ascii="Times New Roman" w:hAnsi="Times New Roman" w:cs="Times New Roman"/>
          <w:sz w:val="24"/>
          <w:szCs w:val="24"/>
        </w:rPr>
      </w:pPr>
    </w:p>
    <w:p w14:paraId="7426ED3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Example protocol for phase‑specific IL‑2 administration</w:t>
      </w:r>
    </w:p>
    <w:p w14:paraId="1064160B">
      <w:pPr>
        <w:spacing w:line="360" w:lineRule="auto"/>
        <w:rPr>
          <w:rFonts w:hint="default" w:ascii="Times New Roman" w:hAnsi="Times New Roman" w:cs="Times New Roman"/>
          <w:sz w:val="24"/>
          <w:szCs w:val="24"/>
        </w:rPr>
      </w:pPr>
    </w:p>
    <w:p w14:paraId="0B9E908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5.1 Applicable scenarios (theoretical)</w:t>
      </w:r>
    </w:p>
    <w:p w14:paraId="08A4EA95">
      <w:pPr>
        <w:spacing w:line="360" w:lineRule="auto"/>
        <w:rPr>
          <w:rFonts w:hint="default" w:ascii="Times New Roman" w:hAnsi="Times New Roman" w:cs="Times New Roman"/>
          <w:sz w:val="24"/>
          <w:szCs w:val="24"/>
        </w:rPr>
      </w:pPr>
    </w:p>
    <w:p w14:paraId="28F46DE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Cancer: Low‑dose IL‑2 during the critical sensitivity phase (S ≈ S*) to enhance ICB</w:t>
      </w:r>
    </w:p>
    <w:p w14:paraId="3C7298CE">
      <w:pPr>
        <w:spacing w:line="360" w:lineRule="auto"/>
        <w:rPr>
          <w:rFonts w:hint="default" w:ascii="Times New Roman" w:hAnsi="Times New Roman" w:cs="Times New Roman"/>
          <w:sz w:val="24"/>
          <w:szCs w:val="24"/>
        </w:rPr>
      </w:pPr>
    </w:p>
    <w:p w14:paraId="193D72D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Autoimmune disease: Low‑dose IL‑2 during the contraction/recovery phase to consolidate Treg</w:t>
      </w:r>
    </w:p>
    <w:p w14:paraId="09FE915E">
      <w:pPr>
        <w:spacing w:line="360" w:lineRule="auto"/>
        <w:rPr>
          <w:rFonts w:hint="default" w:ascii="Times New Roman" w:hAnsi="Times New Roman" w:cs="Times New Roman"/>
          <w:sz w:val="24"/>
          <w:szCs w:val="24"/>
        </w:rPr>
      </w:pPr>
    </w:p>
    <w:p w14:paraId="343A946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5.2 Example doses (mouse, theoretical)</w:t>
      </w:r>
    </w:p>
    <w:p w14:paraId="3EBFC661">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256"/>
        <w:gridCol w:w="1514"/>
        <w:gridCol w:w="1667"/>
        <w:gridCol w:w="1566"/>
        <w:gridCol w:w="1519"/>
      </w:tblGrid>
      <w:tr w14:paraId="0C00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6E050536">
            <w:pPr>
              <w:spacing w:line="360" w:lineRule="auto"/>
            </w:pPr>
            <w:r>
              <w:rPr>
                <w:rFonts w:hint="default" w:ascii="Times New Roman" w:hAnsi="Times New Roman" w:cs="Times New Roman"/>
                <w:sz w:val="24"/>
                <w:szCs w:val="24"/>
              </w:rPr>
              <w:t>Immune phase</w:t>
            </w:r>
          </w:p>
        </w:tc>
        <w:tc>
          <w:tcPr>
            <w:tcW w:w="1704" w:type="dxa"/>
          </w:tcPr>
          <w:p w14:paraId="5E522995">
            <w:pPr>
              <w:spacing w:line="360" w:lineRule="auto"/>
            </w:pPr>
            <w:r>
              <w:rPr>
                <w:rFonts w:hint="default" w:ascii="Times New Roman" w:hAnsi="Times New Roman" w:cs="Times New Roman"/>
                <w:sz w:val="24"/>
                <w:szCs w:val="24"/>
              </w:rPr>
              <w:t>S‑state</w:t>
            </w:r>
          </w:p>
        </w:tc>
        <w:tc>
          <w:tcPr>
            <w:tcW w:w="1704" w:type="dxa"/>
          </w:tcPr>
          <w:p w14:paraId="4A43EB32">
            <w:pPr>
              <w:spacing w:line="360" w:lineRule="auto"/>
            </w:pPr>
            <w:r>
              <w:rPr>
                <w:rFonts w:hint="default" w:ascii="Times New Roman" w:hAnsi="Times New Roman" w:cs="Times New Roman"/>
                <w:sz w:val="24"/>
                <w:szCs w:val="24"/>
              </w:rPr>
              <w:t>IL‑2 dose (IU/mouse)</w:t>
            </w:r>
          </w:p>
        </w:tc>
        <w:tc>
          <w:tcPr>
            <w:tcW w:w="1705" w:type="dxa"/>
          </w:tcPr>
          <w:p w14:paraId="7104BD99">
            <w:pPr>
              <w:spacing w:line="360" w:lineRule="auto"/>
            </w:pPr>
            <w:r>
              <w:rPr>
                <w:rFonts w:hint="default" w:ascii="Times New Roman" w:hAnsi="Times New Roman" w:cs="Times New Roman"/>
                <w:sz w:val="24"/>
                <w:szCs w:val="24"/>
              </w:rPr>
              <w:t>Frequency</w:t>
            </w:r>
          </w:p>
        </w:tc>
        <w:tc>
          <w:tcPr>
            <w:tcW w:w="1705" w:type="dxa"/>
          </w:tcPr>
          <w:p w14:paraId="6B53C623">
            <w:pPr>
              <w:spacing w:line="360" w:lineRule="auto"/>
            </w:pPr>
            <w:r>
              <w:rPr>
                <w:rFonts w:hint="default" w:ascii="Times New Roman" w:hAnsi="Times New Roman" w:cs="Times New Roman"/>
                <w:sz w:val="24"/>
                <w:szCs w:val="24"/>
              </w:rPr>
              <w:t>Duration</w:t>
            </w:r>
          </w:p>
        </w:tc>
      </w:tr>
      <w:tr w14:paraId="0CC8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1AE2486F">
            <w:pPr>
              <w:spacing w:line="360" w:lineRule="auto"/>
            </w:pPr>
            <w:r>
              <w:rPr>
                <w:rFonts w:hint="default" w:ascii="Times New Roman" w:hAnsi="Times New Roman" w:cs="Times New Roman"/>
                <w:sz w:val="24"/>
                <w:szCs w:val="24"/>
              </w:rPr>
              <w:t>Critical sensitivity</w:t>
            </w:r>
          </w:p>
        </w:tc>
        <w:tc>
          <w:tcPr>
            <w:tcW w:w="1704" w:type="dxa"/>
          </w:tcPr>
          <w:p w14:paraId="712654B4">
            <w:pPr>
              <w:spacing w:line="360" w:lineRule="auto"/>
            </w:pPr>
            <w:r>
              <w:rPr>
                <w:rFonts w:hint="default" w:ascii="Times New Roman" w:hAnsi="Times New Roman" w:cs="Times New Roman"/>
                <w:sz w:val="24"/>
                <w:szCs w:val="24"/>
              </w:rPr>
              <w:t>0.7S* ≤ S ≤ 1.3S*</w:t>
            </w:r>
          </w:p>
        </w:tc>
        <w:tc>
          <w:tcPr>
            <w:tcW w:w="1704" w:type="dxa"/>
          </w:tcPr>
          <w:p w14:paraId="72D38311">
            <w:pPr>
              <w:spacing w:line="360" w:lineRule="auto"/>
            </w:pPr>
            <w:r>
              <w:rPr>
                <w:rFonts w:hint="default" w:ascii="Times New Roman" w:hAnsi="Times New Roman" w:cs="Times New Roman"/>
                <w:sz w:val="24"/>
                <w:szCs w:val="24"/>
              </w:rPr>
              <w:t>10,000</w:t>
            </w:r>
          </w:p>
        </w:tc>
        <w:tc>
          <w:tcPr>
            <w:tcW w:w="1705" w:type="dxa"/>
          </w:tcPr>
          <w:p w14:paraId="18B68AB7">
            <w:pPr>
              <w:spacing w:line="360" w:lineRule="auto"/>
            </w:pPr>
            <w:r>
              <w:rPr>
                <w:rFonts w:hint="default" w:ascii="Times New Roman" w:hAnsi="Times New Roman" w:cs="Times New Roman"/>
                <w:sz w:val="24"/>
                <w:szCs w:val="24"/>
              </w:rPr>
              <w:t>Daily</w:t>
            </w:r>
          </w:p>
        </w:tc>
        <w:tc>
          <w:tcPr>
            <w:tcW w:w="1705" w:type="dxa"/>
          </w:tcPr>
          <w:p w14:paraId="44DFF90B">
            <w:pPr>
              <w:spacing w:line="360" w:lineRule="auto"/>
            </w:pPr>
            <w:r>
              <w:rPr>
                <w:rFonts w:hint="default" w:ascii="Times New Roman" w:hAnsi="Times New Roman" w:cs="Times New Roman"/>
                <w:sz w:val="24"/>
                <w:szCs w:val="24"/>
              </w:rPr>
              <w:t>5 days</w:t>
            </w:r>
          </w:p>
        </w:tc>
      </w:tr>
      <w:tr w14:paraId="0E78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4CF127B4">
            <w:pPr>
              <w:spacing w:line="360" w:lineRule="auto"/>
            </w:pPr>
            <w:r>
              <w:rPr>
                <w:rFonts w:hint="default" w:ascii="Times New Roman" w:hAnsi="Times New Roman" w:cs="Times New Roman"/>
                <w:sz w:val="24"/>
                <w:szCs w:val="24"/>
              </w:rPr>
              <w:t>Contraction/recovery</w:t>
            </w:r>
          </w:p>
        </w:tc>
        <w:tc>
          <w:tcPr>
            <w:tcW w:w="1704" w:type="dxa"/>
          </w:tcPr>
          <w:p w14:paraId="758FDBB0">
            <w:pPr>
              <w:spacing w:line="360" w:lineRule="auto"/>
            </w:pPr>
            <w:r>
              <w:rPr>
                <w:rFonts w:hint="default" w:ascii="Times New Roman" w:hAnsi="Times New Roman" w:cs="Times New Roman"/>
                <w:sz w:val="24"/>
                <w:szCs w:val="24"/>
              </w:rPr>
              <w:t>S rising (towards S*)</w:t>
            </w:r>
          </w:p>
        </w:tc>
        <w:tc>
          <w:tcPr>
            <w:tcW w:w="1704" w:type="dxa"/>
          </w:tcPr>
          <w:p w14:paraId="7F62492C">
            <w:pPr>
              <w:spacing w:line="360" w:lineRule="auto"/>
            </w:pPr>
            <w:r>
              <w:rPr>
                <w:rFonts w:hint="default" w:ascii="Times New Roman" w:hAnsi="Times New Roman" w:cs="Times New Roman"/>
                <w:sz w:val="24"/>
                <w:szCs w:val="24"/>
              </w:rPr>
              <w:t>3,000</w:t>
            </w:r>
          </w:p>
        </w:tc>
        <w:tc>
          <w:tcPr>
            <w:tcW w:w="1705" w:type="dxa"/>
          </w:tcPr>
          <w:p w14:paraId="66FBF7BC">
            <w:pPr>
              <w:spacing w:line="360" w:lineRule="auto"/>
            </w:pPr>
            <w:r>
              <w:rPr>
                <w:rFonts w:hint="default" w:ascii="Times New Roman" w:hAnsi="Times New Roman" w:cs="Times New Roman"/>
                <w:sz w:val="24"/>
                <w:szCs w:val="24"/>
              </w:rPr>
              <w:t>Every other day</w:t>
            </w:r>
          </w:p>
        </w:tc>
        <w:tc>
          <w:tcPr>
            <w:tcW w:w="1705" w:type="dxa"/>
          </w:tcPr>
          <w:p w14:paraId="6A9A5F16">
            <w:pPr>
              <w:spacing w:line="360" w:lineRule="auto"/>
            </w:pPr>
            <w:r>
              <w:rPr>
                <w:rFonts w:hint="default" w:ascii="Times New Roman" w:hAnsi="Times New Roman" w:cs="Times New Roman"/>
                <w:sz w:val="24"/>
                <w:szCs w:val="24"/>
              </w:rPr>
              <w:t>10 days</w:t>
            </w:r>
          </w:p>
        </w:tc>
      </w:tr>
      <w:tr w14:paraId="51E0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7314CB21">
            <w:pPr>
              <w:spacing w:line="360" w:lineRule="auto"/>
            </w:pPr>
            <w:r>
              <w:rPr>
                <w:rFonts w:hint="default" w:ascii="Times New Roman" w:hAnsi="Times New Roman" w:cs="Times New Roman"/>
                <w:sz w:val="24"/>
                <w:szCs w:val="24"/>
              </w:rPr>
              <w:t>Effector</w:t>
            </w:r>
          </w:p>
        </w:tc>
        <w:tc>
          <w:tcPr>
            <w:tcW w:w="1704" w:type="dxa"/>
          </w:tcPr>
          <w:p w14:paraId="2D202E4A">
            <w:pPr>
              <w:spacing w:line="360" w:lineRule="auto"/>
            </w:pPr>
            <w:r>
              <w:rPr>
                <w:rFonts w:hint="default" w:ascii="Times New Roman" w:hAnsi="Times New Roman" w:cs="Times New Roman"/>
                <w:sz w:val="24"/>
                <w:szCs w:val="24"/>
              </w:rPr>
              <w:t>S &lt; 0.7S*</w:t>
            </w:r>
          </w:p>
        </w:tc>
        <w:tc>
          <w:tcPr>
            <w:tcW w:w="1704" w:type="dxa"/>
          </w:tcPr>
          <w:p w14:paraId="088B6E12">
            <w:pPr>
              <w:spacing w:line="360" w:lineRule="auto"/>
            </w:pPr>
            <w:r>
              <w:rPr>
                <w:rFonts w:hint="default" w:ascii="Times New Roman" w:hAnsi="Times New Roman" w:cs="Times New Roman"/>
                <w:sz w:val="24"/>
                <w:szCs w:val="24"/>
              </w:rPr>
              <w:t>Not recommended</w:t>
            </w:r>
          </w:p>
        </w:tc>
        <w:tc>
          <w:tcPr>
            <w:tcW w:w="1705" w:type="dxa"/>
          </w:tcPr>
          <w:p w14:paraId="6519B19A">
            <w:pPr>
              <w:spacing w:line="360" w:lineRule="auto"/>
            </w:pPr>
            <w:r>
              <w:rPr>
                <w:rFonts w:hint="default" w:ascii="Times New Roman" w:hAnsi="Times New Roman" w:cs="Times New Roman"/>
                <w:sz w:val="24"/>
                <w:szCs w:val="24"/>
              </w:rPr>
              <w:t>—</w:t>
            </w:r>
          </w:p>
        </w:tc>
        <w:tc>
          <w:tcPr>
            <w:tcW w:w="1705" w:type="dxa"/>
          </w:tcPr>
          <w:p w14:paraId="28C51DE8">
            <w:pPr>
              <w:spacing w:line="360" w:lineRule="auto"/>
            </w:pPr>
            <w:r>
              <w:rPr>
                <w:rFonts w:hint="default" w:ascii="Times New Roman" w:hAnsi="Times New Roman" w:cs="Times New Roman"/>
                <w:sz w:val="24"/>
                <w:szCs w:val="24"/>
              </w:rPr>
              <w:t>—</w:t>
            </w:r>
          </w:p>
        </w:tc>
      </w:tr>
    </w:tbl>
    <w:p w14:paraId="13B1A89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Warning:</w:t>
      </w:r>
    </w:p>
    <w:p w14:paraId="0032F508">
      <w:pPr>
        <w:spacing w:line="360" w:lineRule="auto"/>
        <w:rPr>
          <w:rFonts w:hint="default" w:ascii="Times New Roman" w:hAnsi="Times New Roman" w:cs="Times New Roman"/>
          <w:sz w:val="24"/>
          <w:szCs w:val="24"/>
        </w:rPr>
      </w:pPr>
    </w:p>
    <w:p w14:paraId="5474066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Doses must be converted according to IL‑2 specific activity (1×10⁶ IU/mg). Prior pre‑experiments to determine tolerability and efficacy are mandatory.</w:t>
      </w:r>
    </w:p>
    <w:p w14:paraId="19CBC69A">
      <w:pPr>
        <w:spacing w:line="360" w:lineRule="auto"/>
        <w:rPr>
          <w:rFonts w:hint="default" w:ascii="Times New Roman" w:hAnsi="Times New Roman" w:cs="Times New Roman"/>
          <w:sz w:val="24"/>
          <w:szCs w:val="24"/>
        </w:rPr>
      </w:pPr>
    </w:p>
    <w:p w14:paraId="1E7661F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above protocols have not been validated in any animal or human study and must not be used directly for treatment.</w:t>
      </w:r>
    </w:p>
    <w:p w14:paraId="65E7C957">
      <w:pPr>
        <w:spacing w:line="360" w:lineRule="auto"/>
        <w:rPr>
          <w:rFonts w:hint="default" w:ascii="Times New Roman" w:hAnsi="Times New Roman" w:cs="Times New Roman"/>
          <w:sz w:val="24"/>
          <w:szCs w:val="24"/>
        </w:rPr>
      </w:pPr>
    </w:p>
    <w:p w14:paraId="1EFB607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figure descriptions (high‑resolution versions)</w:t>
      </w:r>
    </w:p>
    <w:p w14:paraId="24B91845">
      <w:pPr>
        <w:spacing w:line="360" w:lineRule="auto"/>
        <w:rPr>
          <w:rFonts w:hint="default" w:ascii="Times New Roman" w:hAnsi="Times New Roman" w:cs="Times New Roman"/>
          <w:sz w:val="24"/>
          <w:szCs w:val="24"/>
        </w:rPr>
      </w:pPr>
    </w:p>
    <w:p w14:paraId="2CACD6E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following figures are cited in the main text. High‑resolution versions can be obtained from the author.</w:t>
      </w:r>
    </w:p>
    <w:p w14:paraId="5DBAD44D">
      <w:pPr>
        <w:spacing w:line="360" w:lineRule="auto"/>
        <w:rPr>
          <w:rFonts w:hint="default" w:ascii="Times New Roman" w:hAnsi="Times New Roman" w:cs="Times New Roman"/>
          <w:sz w:val="24"/>
          <w:szCs w:val="24"/>
        </w:rPr>
      </w:pPr>
    </w:p>
    <w:p w14:paraId="6D912AD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Request method: Send an email to xchyuanshanzhang@163.com with the subject line “Supplementary figure request + institution name”. Please specify which figure(s) you need (Figures 1–5) and the intended use (e.g., academic publication, teaching). The author will reply within 7 working days and will provide figures in high‑resolution TIFF or PDF format (300 dpi).</w:t>
      </w:r>
    </w:p>
    <w:p w14:paraId="4997C5D4">
      <w:pPr>
        <w:spacing w:line="360" w:lineRule="auto"/>
        <w:rPr>
          <w:rFonts w:hint="default" w:ascii="Times New Roman" w:hAnsi="Times New Roman" w:cs="Times New Roman"/>
          <w:sz w:val="24"/>
          <w:szCs w:val="24"/>
        </w:rPr>
      </w:pPr>
    </w:p>
    <w:p w14:paraId="798F8FA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Figure 1. N‑shaped relationship between danger signal and S‑value.</w:t>
      </w:r>
    </w:p>
    <w:p w14:paraId="28C7677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Figure 2. S‑value dynamics under different danger signal levels (generated by the Python/MATLAB code in Section 2).</w:t>
      </w:r>
    </w:p>
    <w:p w14:paraId="1256101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Figures 3–5. Additional simulation results for multi‑clone mixtures are available upon request.</w:t>
      </w:r>
    </w:p>
    <w:p w14:paraId="7E8A3D13">
      <w:pPr>
        <w:spacing w:line="360" w:lineRule="auto"/>
        <w:rPr>
          <w:rFonts w:hint="default" w:ascii="Times New Roman" w:hAnsi="Times New Roman" w:cs="Times New Roman"/>
          <w:sz w:val="24"/>
          <w:szCs w:val="24"/>
        </w:rPr>
      </w:pPr>
    </w:p>
    <w:p w14:paraId="56F5BE0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main text figures 1‑5 are described in the main figure legends; they are not repeated here.)</w:t>
      </w:r>
    </w:p>
    <w:p w14:paraId="40B003C8">
      <w:pPr>
        <w:spacing w:line="360" w:lineRule="auto"/>
        <w:rPr>
          <w:rFonts w:hint="default" w:ascii="Times New Roman" w:hAnsi="Times New Roman" w:cs="Times New Roman"/>
          <w:sz w:val="24"/>
          <w:szCs w:val="24"/>
        </w:rPr>
      </w:pPr>
    </w:p>
    <w:p w14:paraId="4868EE3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Reproducibility statement</w:t>
      </w:r>
    </w:p>
    <w:p w14:paraId="2809B635">
      <w:pPr>
        <w:spacing w:line="360" w:lineRule="auto"/>
        <w:rPr>
          <w:rFonts w:hint="default" w:ascii="Times New Roman" w:hAnsi="Times New Roman" w:cs="Times New Roman"/>
          <w:sz w:val="24"/>
          <w:szCs w:val="24"/>
        </w:rPr>
      </w:pPr>
    </w:p>
    <w:p w14:paraId="2D58EE5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All mathematical models, code, and experimental protocols are theoretical examples</w:t>
      </w:r>
    </w:p>
    <w:p w14:paraId="34D2243B">
      <w:pPr>
        <w:spacing w:line="360" w:lineRule="auto"/>
        <w:rPr>
          <w:rFonts w:hint="default" w:ascii="Times New Roman" w:hAnsi="Times New Roman" w:cs="Times New Roman"/>
          <w:sz w:val="24"/>
          <w:szCs w:val="24"/>
        </w:rPr>
      </w:pPr>
    </w:p>
    <w:p w14:paraId="7265361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basic‑version code can be run directly (environment requirements are given in Section 2)</w:t>
      </w:r>
    </w:p>
    <w:p w14:paraId="31D8FF28">
      <w:pPr>
        <w:spacing w:line="360" w:lineRule="auto"/>
        <w:rPr>
          <w:rFonts w:hint="default" w:ascii="Times New Roman" w:hAnsi="Times New Roman" w:cs="Times New Roman"/>
          <w:sz w:val="24"/>
          <w:szCs w:val="24"/>
        </w:rPr>
      </w:pPr>
    </w:p>
    <w:p w14:paraId="55D4F29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Multi‑clone extension simulations can be implemented according to the Kuramoto model in the main text and the guidance in Section 2.5</w:t>
      </w:r>
    </w:p>
    <w:p w14:paraId="477C4482">
      <w:pPr>
        <w:spacing w:line="360" w:lineRule="auto"/>
        <w:rPr>
          <w:rFonts w:hint="default" w:ascii="Times New Roman" w:hAnsi="Times New Roman" w:cs="Times New Roman"/>
          <w:sz w:val="24"/>
          <w:szCs w:val="24"/>
        </w:rPr>
      </w:pPr>
    </w:p>
    <w:p w14:paraId="4201CB7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complete code (including the basic version, extension templates, and mixture simulation) will be uploaded to Zenodo; a permanent DOI will be provided upon publication</w:t>
      </w:r>
    </w:p>
    <w:p w14:paraId="16AA7810">
      <w:pPr>
        <w:spacing w:line="360" w:lineRule="auto"/>
        <w:rPr>
          <w:rFonts w:hint="default" w:ascii="Times New Roman" w:hAnsi="Times New Roman" w:cs="Times New Roman"/>
          <w:sz w:val="24"/>
          <w:szCs w:val="24"/>
        </w:rPr>
      </w:pPr>
    </w:p>
    <w:p w14:paraId="1F5EF98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Random seeds: All stochastic processes in the code (Python: np.random.seed(42); MATLAB: rng(42)) are fixed to ensure exact reproducibility of simulation results.</w:t>
      </w:r>
    </w:p>
    <w:p w14:paraId="1F8D0458">
      <w:pPr>
        <w:spacing w:line="360" w:lineRule="auto"/>
        <w:rPr>
          <w:rFonts w:hint="default" w:ascii="Times New Roman" w:hAnsi="Times New Roman" w:cs="Times New Roman"/>
          <w:sz w:val="24"/>
          <w:szCs w:val="24"/>
        </w:rPr>
      </w:pPr>
    </w:p>
    <w:p w14:paraId="4F568CA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Open source license: The code is released under the MIT License, permitting reuse with attribution.</w:t>
      </w:r>
    </w:p>
    <w:p w14:paraId="593888AC">
      <w:pPr>
        <w:spacing w:line="360" w:lineRule="auto"/>
        <w:rPr>
          <w:rFonts w:hint="default" w:ascii="Times New Roman" w:hAnsi="Times New Roman" w:cs="Times New Roman"/>
          <w:sz w:val="24"/>
          <w:szCs w:val="24"/>
        </w:rPr>
      </w:pPr>
    </w:p>
    <w:p w14:paraId="45B58E6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Overall warning: All numerical values, doses, thresholds, and experimental protocols in this supplementary material are theoretical suggestions. Without ethical approval, they must not be used in humans or animals. Any attempt to use this theory for actual clinical decisions is beyond the author’s intention, and the author disclaims all responsibility.</w:t>
      </w:r>
    </w:p>
    <w:p w14:paraId="05F9576B">
      <w:pPr>
        <w:spacing w:line="360" w:lineRule="auto"/>
        <w:rPr>
          <w:rFonts w:hint="default" w:ascii="Times New Roman" w:hAnsi="Times New Roman" w:cs="Times New Roman"/>
          <w:sz w:val="24"/>
          <w:szCs w:val="24"/>
        </w:rPr>
      </w:pPr>
    </w:p>
    <w:p w14:paraId="13CDB85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Multi‑antigen mixture extension and parameter sensitivity analysis</w:t>
      </w:r>
    </w:p>
    <w:p w14:paraId="09BF6507">
      <w:pPr>
        <w:spacing w:line="360" w:lineRule="auto"/>
        <w:rPr>
          <w:rFonts w:hint="default" w:ascii="Times New Roman" w:hAnsi="Times New Roman" w:cs="Times New Roman"/>
          <w:sz w:val="24"/>
          <w:szCs w:val="24"/>
        </w:rPr>
      </w:pPr>
    </w:p>
    <w:p w14:paraId="1D4EC1B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section extends the framework described in Section 6.3 of the main text, providing additional details on parameter ranges, sensitivity analysis, and numerical values for the multi‑clone mixture model. All parameters and thresholds are illustrative and require experimental validation.</w:t>
      </w:r>
    </w:p>
    <w:p w14:paraId="58FC7773">
      <w:pPr>
        <w:spacing w:line="360" w:lineRule="auto"/>
        <w:rPr>
          <w:rFonts w:hint="default" w:ascii="Times New Roman" w:hAnsi="Times New Roman" w:cs="Times New Roman"/>
          <w:sz w:val="24"/>
          <w:szCs w:val="24"/>
        </w:rPr>
      </w:pPr>
    </w:p>
    <w:p w14:paraId="62B2E04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8.1 Additional parameters for multi‑clone simulations</w:t>
      </w:r>
    </w:p>
    <w:p w14:paraId="4C35AFD2">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671"/>
        <w:gridCol w:w="1649"/>
        <w:gridCol w:w="1671"/>
        <w:gridCol w:w="1675"/>
        <w:gridCol w:w="1856"/>
      </w:tblGrid>
      <w:tr w14:paraId="0C0E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tcPr>
          <w:p w14:paraId="5E3B579B">
            <w:pPr>
              <w:spacing w:line="360" w:lineRule="auto"/>
            </w:pPr>
            <w:r>
              <w:rPr>
                <w:rFonts w:hint="default" w:ascii="Times New Roman" w:hAnsi="Times New Roman" w:cs="Times New Roman"/>
                <w:sz w:val="24"/>
                <w:szCs w:val="24"/>
              </w:rPr>
              <w:t>Parameter</w:t>
            </w:r>
          </w:p>
        </w:tc>
        <w:tc>
          <w:tcPr>
            <w:tcW w:w="1704" w:type="dxa"/>
          </w:tcPr>
          <w:p w14:paraId="1E064DCA">
            <w:pPr>
              <w:spacing w:line="360" w:lineRule="auto"/>
            </w:pPr>
            <w:r>
              <w:rPr>
                <w:rFonts w:hint="default" w:ascii="Times New Roman" w:hAnsi="Times New Roman" w:cs="Times New Roman"/>
                <w:sz w:val="24"/>
                <w:szCs w:val="24"/>
              </w:rPr>
              <w:t>Symbol</w:t>
            </w:r>
          </w:p>
        </w:tc>
        <w:tc>
          <w:tcPr>
            <w:tcW w:w="1704" w:type="dxa"/>
          </w:tcPr>
          <w:p w14:paraId="6CACE905">
            <w:pPr>
              <w:spacing w:line="360" w:lineRule="auto"/>
            </w:pPr>
            <w:r>
              <w:rPr>
                <w:rFonts w:hint="default" w:ascii="Times New Roman" w:hAnsi="Times New Roman" w:cs="Times New Roman"/>
                <w:sz w:val="24"/>
                <w:szCs w:val="24"/>
              </w:rPr>
              <w:t>Illustrative value</w:t>
            </w:r>
          </w:p>
        </w:tc>
        <w:tc>
          <w:tcPr>
            <w:tcW w:w="1705" w:type="dxa"/>
          </w:tcPr>
          <w:p w14:paraId="489DA3A5">
            <w:pPr>
              <w:spacing w:line="360" w:lineRule="auto"/>
            </w:pPr>
            <w:r>
              <w:rPr>
                <w:rFonts w:hint="default" w:ascii="Times New Roman" w:hAnsi="Times New Roman" w:cs="Times New Roman"/>
                <w:sz w:val="24"/>
                <w:szCs w:val="24"/>
              </w:rPr>
              <w:t>Range tested in sensitivity analysis</w:t>
            </w:r>
          </w:p>
        </w:tc>
        <w:tc>
          <w:tcPr>
            <w:tcW w:w="1705" w:type="dxa"/>
          </w:tcPr>
          <w:p w14:paraId="7992253C">
            <w:pPr>
              <w:spacing w:line="360" w:lineRule="auto"/>
            </w:pPr>
            <w:r>
              <w:rPr>
                <w:rFonts w:hint="default" w:ascii="Times New Roman" w:hAnsi="Times New Roman" w:cs="Times New Roman"/>
                <w:sz w:val="24"/>
                <w:szCs w:val="24"/>
              </w:rPr>
              <w:t>Biological meaning</w:t>
            </w:r>
          </w:p>
        </w:tc>
      </w:tr>
      <w:tr w14:paraId="2DCE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53FB7145">
            <w:pPr>
              <w:spacing w:line="360" w:lineRule="auto"/>
            </w:pPr>
            <w:r>
              <w:rPr>
                <w:rFonts w:hint="default" w:ascii="Times New Roman" w:hAnsi="Times New Roman" w:cs="Times New Roman"/>
                <w:sz w:val="24"/>
                <w:szCs w:val="24"/>
              </w:rPr>
              <w:t>IL‑2 threshold (low)</w:t>
            </w:r>
          </w:p>
        </w:tc>
        <w:tc>
          <w:tcPr>
            <w:tcW w:w="1704" w:type="dxa"/>
          </w:tcPr>
          <w:p w14:paraId="31B2DA4C">
            <w:pPr>
              <w:spacing w:line="360" w:lineRule="auto"/>
            </w:pPr>
            <w:r>
              <w:rPr>
                <w:rFonts w:hint="default" w:ascii="Times New Roman" w:hAnsi="Times New Roman" w:cs="Times New Roman"/>
                <w:sz w:val="24"/>
                <w:szCs w:val="24"/>
              </w:rPr>
              <w:t>L_low</w:t>
            </w:r>
          </w:p>
        </w:tc>
        <w:tc>
          <w:tcPr>
            <w:tcW w:w="1704" w:type="dxa"/>
          </w:tcPr>
          <w:p w14:paraId="37162865">
            <w:pPr>
              <w:spacing w:line="360" w:lineRule="auto"/>
            </w:pPr>
            <w:r>
              <w:rPr>
                <w:rFonts w:hint="default" w:ascii="Times New Roman" w:hAnsi="Times New Roman" w:cs="Times New Roman"/>
                <w:sz w:val="24"/>
                <w:szCs w:val="24"/>
              </w:rPr>
              <w:t>10 pM</w:t>
            </w:r>
          </w:p>
        </w:tc>
        <w:tc>
          <w:tcPr>
            <w:tcW w:w="1705" w:type="dxa"/>
          </w:tcPr>
          <w:p w14:paraId="7E40C861">
            <w:pPr>
              <w:spacing w:line="360" w:lineRule="auto"/>
            </w:pPr>
            <w:r>
              <w:rPr>
                <w:rFonts w:hint="default" w:ascii="Times New Roman" w:hAnsi="Times New Roman" w:cs="Times New Roman"/>
                <w:sz w:val="24"/>
                <w:szCs w:val="24"/>
              </w:rPr>
              <w:t>5–20 pM</w:t>
            </w:r>
          </w:p>
        </w:tc>
        <w:tc>
          <w:tcPr>
            <w:tcW w:w="1705" w:type="dxa"/>
          </w:tcPr>
          <w:p w14:paraId="1A7344E1">
            <w:pPr>
              <w:spacing w:line="360" w:lineRule="auto"/>
            </w:pPr>
            <w:r>
              <w:rPr>
                <w:rFonts w:hint="default" w:ascii="Times New Roman" w:hAnsi="Times New Roman" w:cs="Times New Roman"/>
                <w:sz w:val="24"/>
                <w:szCs w:val="24"/>
              </w:rPr>
              <w:t>Minimal IL‑2 for micro‑oscillation</w:t>
            </w:r>
          </w:p>
        </w:tc>
      </w:tr>
      <w:tr w14:paraId="4AA2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21346AC4">
            <w:pPr>
              <w:spacing w:line="360" w:lineRule="auto"/>
            </w:pPr>
            <w:r>
              <w:rPr>
                <w:rFonts w:hint="default" w:ascii="Times New Roman" w:hAnsi="Times New Roman" w:cs="Times New Roman"/>
                <w:sz w:val="24"/>
                <w:szCs w:val="24"/>
              </w:rPr>
              <w:t>IL‑2 threshold (high)</w:t>
            </w:r>
          </w:p>
        </w:tc>
        <w:tc>
          <w:tcPr>
            <w:tcW w:w="1704" w:type="dxa"/>
          </w:tcPr>
          <w:p w14:paraId="4C69ACB8">
            <w:pPr>
              <w:spacing w:line="360" w:lineRule="auto"/>
            </w:pPr>
            <w:r>
              <w:rPr>
                <w:rFonts w:hint="default" w:ascii="Times New Roman" w:hAnsi="Times New Roman" w:cs="Times New Roman"/>
                <w:sz w:val="24"/>
                <w:szCs w:val="24"/>
              </w:rPr>
              <w:t>L_high</w:t>
            </w:r>
          </w:p>
        </w:tc>
        <w:tc>
          <w:tcPr>
            <w:tcW w:w="1704" w:type="dxa"/>
          </w:tcPr>
          <w:p w14:paraId="0A7B3709">
            <w:pPr>
              <w:spacing w:line="360" w:lineRule="auto"/>
            </w:pPr>
            <w:r>
              <w:rPr>
                <w:rFonts w:hint="default" w:ascii="Times New Roman" w:hAnsi="Times New Roman" w:cs="Times New Roman"/>
                <w:sz w:val="24"/>
                <w:szCs w:val="24"/>
              </w:rPr>
              <w:t>50 pM</w:t>
            </w:r>
          </w:p>
        </w:tc>
        <w:tc>
          <w:tcPr>
            <w:tcW w:w="1705" w:type="dxa"/>
          </w:tcPr>
          <w:p w14:paraId="4369B264">
            <w:pPr>
              <w:spacing w:line="360" w:lineRule="auto"/>
            </w:pPr>
            <w:r>
              <w:rPr>
                <w:rFonts w:hint="default" w:ascii="Times New Roman" w:hAnsi="Times New Roman" w:cs="Times New Roman"/>
                <w:sz w:val="24"/>
                <w:szCs w:val="24"/>
              </w:rPr>
              <w:t>25–100 pM</w:t>
            </w:r>
          </w:p>
        </w:tc>
        <w:tc>
          <w:tcPr>
            <w:tcW w:w="1705" w:type="dxa"/>
          </w:tcPr>
          <w:p w14:paraId="4B9D001E">
            <w:pPr>
              <w:spacing w:line="360" w:lineRule="auto"/>
            </w:pPr>
            <w:r>
              <w:rPr>
                <w:rFonts w:hint="default" w:ascii="Times New Roman" w:hAnsi="Times New Roman" w:cs="Times New Roman"/>
                <w:sz w:val="24"/>
                <w:szCs w:val="24"/>
              </w:rPr>
              <w:t>Threshold for full Teff activation</w:t>
            </w:r>
          </w:p>
        </w:tc>
      </w:tr>
      <w:tr w14:paraId="70AF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77C9638E">
            <w:pPr>
              <w:spacing w:line="360" w:lineRule="auto"/>
            </w:pPr>
            <w:r>
              <w:rPr>
                <w:rFonts w:hint="default" w:ascii="Times New Roman" w:hAnsi="Times New Roman" w:cs="Times New Roman"/>
                <w:sz w:val="24"/>
                <w:szCs w:val="24"/>
              </w:rPr>
              <w:t>Critical S‑value</w:t>
            </w:r>
          </w:p>
        </w:tc>
        <w:tc>
          <w:tcPr>
            <w:tcW w:w="1704" w:type="dxa"/>
          </w:tcPr>
          <w:p w14:paraId="64B98705">
            <w:pPr>
              <w:spacing w:line="360" w:lineRule="auto"/>
            </w:pPr>
            <w:r>
              <w:rPr>
                <w:rFonts w:hint="default" w:ascii="Times New Roman" w:hAnsi="Times New Roman" w:cs="Times New Roman"/>
                <w:sz w:val="24"/>
                <w:szCs w:val="24"/>
              </w:rPr>
              <w:t>S*</w:t>
            </w:r>
          </w:p>
        </w:tc>
        <w:tc>
          <w:tcPr>
            <w:tcW w:w="1704" w:type="dxa"/>
          </w:tcPr>
          <w:p w14:paraId="63943DDB">
            <w:pPr>
              <w:spacing w:line="360" w:lineRule="auto"/>
            </w:pPr>
            <w:r>
              <w:rPr>
                <w:rFonts w:hint="default" w:ascii="Times New Roman" w:hAnsi="Times New Roman" w:cs="Times New Roman"/>
                <w:sz w:val="24"/>
                <w:szCs w:val="24"/>
              </w:rPr>
              <w:t>0.7</w:t>
            </w:r>
          </w:p>
        </w:tc>
        <w:tc>
          <w:tcPr>
            <w:tcW w:w="1705" w:type="dxa"/>
          </w:tcPr>
          <w:p w14:paraId="24759368">
            <w:pPr>
              <w:spacing w:line="360" w:lineRule="auto"/>
            </w:pPr>
            <w:r>
              <w:rPr>
                <w:rFonts w:hint="default" w:ascii="Times New Roman" w:hAnsi="Times New Roman" w:cs="Times New Roman"/>
                <w:sz w:val="24"/>
                <w:szCs w:val="24"/>
              </w:rPr>
              <w:t>0.4–1.0</w:t>
            </w:r>
          </w:p>
        </w:tc>
        <w:tc>
          <w:tcPr>
            <w:tcW w:w="1705" w:type="dxa"/>
          </w:tcPr>
          <w:p w14:paraId="56FDE7D3">
            <w:pPr>
              <w:spacing w:line="360" w:lineRule="auto"/>
            </w:pPr>
            <w:r>
              <w:rPr>
                <w:rFonts w:hint="default" w:ascii="Times New Roman" w:hAnsi="Times New Roman" w:cs="Times New Roman"/>
                <w:sz w:val="24"/>
                <w:szCs w:val="24"/>
              </w:rPr>
              <w:t>Phase transition point</w:t>
            </w:r>
          </w:p>
        </w:tc>
      </w:tr>
      <w:tr w14:paraId="2B0B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3B26EF1C">
            <w:pPr>
              <w:spacing w:line="360" w:lineRule="auto"/>
            </w:pPr>
            <w:r>
              <w:rPr>
                <w:rFonts w:hint="default" w:ascii="Times New Roman" w:hAnsi="Times New Roman" w:cs="Times New Roman"/>
                <w:sz w:val="24"/>
                <w:szCs w:val="24"/>
              </w:rPr>
              <w:t>Tpex production per osc.</w:t>
            </w:r>
          </w:p>
        </w:tc>
        <w:tc>
          <w:tcPr>
            <w:tcW w:w="1704" w:type="dxa"/>
          </w:tcPr>
          <w:p w14:paraId="27613EC2">
            <w:pPr>
              <w:spacing w:line="360" w:lineRule="auto"/>
            </w:pPr>
            <w:r>
              <w:rPr>
                <w:rFonts w:hint="default" w:ascii="Times New Roman" w:hAnsi="Times New Roman" w:cs="Times New Roman"/>
                <w:sz w:val="24"/>
                <w:szCs w:val="24"/>
              </w:rPr>
              <w:t>α_i</w:t>
            </w:r>
          </w:p>
        </w:tc>
        <w:tc>
          <w:tcPr>
            <w:tcW w:w="1704" w:type="dxa"/>
          </w:tcPr>
          <w:p w14:paraId="0F0EAE09">
            <w:pPr>
              <w:spacing w:line="360" w:lineRule="auto"/>
            </w:pPr>
            <w:r>
              <w:rPr>
                <w:rFonts w:hint="default" w:ascii="Times New Roman" w:hAnsi="Times New Roman" w:cs="Times New Roman"/>
                <w:sz w:val="24"/>
                <w:szCs w:val="24"/>
              </w:rPr>
              <w:t>100 cells</w:t>
            </w:r>
          </w:p>
        </w:tc>
        <w:tc>
          <w:tcPr>
            <w:tcW w:w="1705" w:type="dxa"/>
          </w:tcPr>
          <w:p w14:paraId="7C7220EA">
            <w:pPr>
              <w:spacing w:line="360" w:lineRule="auto"/>
            </w:pPr>
            <w:r>
              <w:rPr>
                <w:rFonts w:hint="default" w:ascii="Times New Roman" w:hAnsi="Times New Roman" w:cs="Times New Roman"/>
                <w:sz w:val="24"/>
                <w:szCs w:val="24"/>
              </w:rPr>
              <w:t>50–200 cells</w:t>
            </w:r>
          </w:p>
        </w:tc>
        <w:tc>
          <w:tcPr>
            <w:tcW w:w="1705" w:type="dxa"/>
          </w:tcPr>
          <w:p w14:paraId="5533E59C">
            <w:pPr>
              <w:spacing w:line="360" w:lineRule="auto"/>
            </w:pPr>
            <w:r>
              <w:rPr>
                <w:rFonts w:hint="default" w:ascii="Times New Roman" w:hAnsi="Times New Roman" w:cs="Times New Roman"/>
                <w:sz w:val="24"/>
                <w:szCs w:val="24"/>
              </w:rPr>
              <w:t>Tpex accumulation rate</w:t>
            </w:r>
          </w:p>
        </w:tc>
      </w:tr>
      <w:tr w14:paraId="2036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4495290A">
            <w:pPr>
              <w:spacing w:line="360" w:lineRule="auto"/>
            </w:pPr>
            <w:r>
              <w:rPr>
                <w:rFonts w:hint="default" w:ascii="Times New Roman" w:hAnsi="Times New Roman" w:cs="Times New Roman"/>
                <w:sz w:val="24"/>
                <w:szCs w:val="24"/>
              </w:rPr>
              <w:t>Tpex clearance rate</w:t>
            </w:r>
          </w:p>
        </w:tc>
        <w:tc>
          <w:tcPr>
            <w:tcW w:w="1704" w:type="dxa"/>
          </w:tcPr>
          <w:p w14:paraId="1606E327">
            <w:pPr>
              <w:spacing w:line="360" w:lineRule="auto"/>
            </w:pPr>
            <w:r>
              <w:rPr>
                <w:rFonts w:hint="default" w:ascii="Times New Roman" w:hAnsi="Times New Roman" w:cs="Times New Roman"/>
                <w:sz w:val="24"/>
                <w:szCs w:val="24"/>
              </w:rPr>
              <w:t>β_i</w:t>
            </w:r>
          </w:p>
        </w:tc>
        <w:tc>
          <w:tcPr>
            <w:tcW w:w="1704" w:type="dxa"/>
          </w:tcPr>
          <w:p w14:paraId="7B87F57E">
            <w:pPr>
              <w:spacing w:line="360" w:lineRule="auto"/>
            </w:pPr>
            <w:r>
              <w:rPr>
                <w:rFonts w:hint="default" w:ascii="Times New Roman" w:hAnsi="Times New Roman" w:cs="Times New Roman"/>
                <w:sz w:val="24"/>
                <w:szCs w:val="24"/>
              </w:rPr>
              <w:t>0.01 day⁻¹</w:t>
            </w:r>
          </w:p>
        </w:tc>
        <w:tc>
          <w:tcPr>
            <w:tcW w:w="1705" w:type="dxa"/>
          </w:tcPr>
          <w:p w14:paraId="5141F93F">
            <w:pPr>
              <w:spacing w:line="360" w:lineRule="auto"/>
            </w:pPr>
            <w:r>
              <w:rPr>
                <w:rFonts w:hint="default" w:ascii="Times New Roman" w:hAnsi="Times New Roman" w:cs="Times New Roman"/>
                <w:sz w:val="24"/>
                <w:szCs w:val="24"/>
              </w:rPr>
              <w:t>0.005–0.02 day⁻¹</w:t>
            </w:r>
          </w:p>
        </w:tc>
        <w:tc>
          <w:tcPr>
            <w:tcW w:w="1705" w:type="dxa"/>
          </w:tcPr>
          <w:p w14:paraId="44650C25">
            <w:pPr>
              <w:spacing w:line="360" w:lineRule="auto"/>
            </w:pPr>
            <w:r>
              <w:rPr>
                <w:rFonts w:hint="default" w:ascii="Times New Roman" w:hAnsi="Times New Roman" w:cs="Times New Roman"/>
                <w:sz w:val="24"/>
                <w:szCs w:val="24"/>
              </w:rPr>
              <w:t>Natural turnover</w:t>
            </w:r>
          </w:p>
        </w:tc>
      </w:tr>
      <w:tr w14:paraId="2BA0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5FD62A8A">
            <w:pPr>
              <w:spacing w:line="360" w:lineRule="auto"/>
            </w:pPr>
            <w:r>
              <w:rPr>
                <w:rFonts w:hint="default" w:ascii="Times New Roman" w:hAnsi="Times New Roman" w:cs="Times New Roman"/>
                <w:sz w:val="24"/>
                <w:szCs w:val="24"/>
              </w:rPr>
              <w:t>Coupling strength scaling</w:t>
            </w:r>
          </w:p>
        </w:tc>
        <w:tc>
          <w:tcPr>
            <w:tcW w:w="1704" w:type="dxa"/>
          </w:tcPr>
          <w:p w14:paraId="3E8AE596">
            <w:pPr>
              <w:spacing w:line="360" w:lineRule="auto"/>
            </w:pPr>
            <w:r>
              <w:rPr>
                <w:rFonts w:hint="default" w:ascii="Times New Roman" w:hAnsi="Times New Roman" w:cs="Times New Roman"/>
                <w:sz w:val="24"/>
                <w:szCs w:val="24"/>
              </w:rPr>
              <w:t>α</w:t>
            </w:r>
          </w:p>
        </w:tc>
        <w:tc>
          <w:tcPr>
            <w:tcW w:w="1704" w:type="dxa"/>
          </w:tcPr>
          <w:p w14:paraId="5CE348F6">
            <w:pPr>
              <w:spacing w:line="360" w:lineRule="auto"/>
            </w:pPr>
            <w:r>
              <w:rPr>
                <w:rFonts w:hint="default" w:ascii="Times New Roman" w:hAnsi="Times New Roman" w:cs="Times New Roman"/>
                <w:sz w:val="24"/>
                <w:szCs w:val="24"/>
              </w:rPr>
              <w:t>0.5</w:t>
            </w:r>
          </w:p>
        </w:tc>
        <w:tc>
          <w:tcPr>
            <w:tcW w:w="1705" w:type="dxa"/>
          </w:tcPr>
          <w:p w14:paraId="5EC93EFA">
            <w:pPr>
              <w:spacing w:line="360" w:lineRule="auto"/>
            </w:pPr>
            <w:r>
              <w:rPr>
                <w:rFonts w:hint="default" w:ascii="Times New Roman" w:hAnsi="Times New Roman" w:cs="Times New Roman"/>
                <w:sz w:val="24"/>
                <w:szCs w:val="24"/>
              </w:rPr>
              <w:t>0.25–0.75</w:t>
            </w:r>
          </w:p>
        </w:tc>
        <w:tc>
          <w:tcPr>
            <w:tcW w:w="1705" w:type="dxa"/>
          </w:tcPr>
          <w:p w14:paraId="2E996C73">
            <w:pPr>
              <w:spacing w:line="360" w:lineRule="auto"/>
            </w:pPr>
            <w:r>
              <w:rPr>
                <w:rFonts w:hint="default" w:ascii="Times New Roman" w:hAnsi="Times New Roman" w:cs="Times New Roman"/>
                <w:sz w:val="24"/>
                <w:szCs w:val="24"/>
              </w:rPr>
              <w:t>Weight of driving signal</w:t>
            </w:r>
          </w:p>
        </w:tc>
      </w:tr>
      <w:tr w14:paraId="637E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04" w:type="dxa"/>
          </w:tcPr>
          <w:p w14:paraId="07742EBF">
            <w:pPr>
              <w:spacing w:line="360" w:lineRule="auto"/>
            </w:pPr>
            <w:r>
              <w:rPr>
                <w:rFonts w:hint="default" w:ascii="Times New Roman" w:hAnsi="Times New Roman" w:cs="Times New Roman"/>
                <w:sz w:val="24"/>
                <w:szCs w:val="24"/>
              </w:rPr>
              <w:t>Damping coefficient</w:t>
            </w:r>
          </w:p>
        </w:tc>
        <w:tc>
          <w:tcPr>
            <w:tcW w:w="1704" w:type="dxa"/>
          </w:tcPr>
          <w:p w14:paraId="230BD910">
            <w:pPr>
              <w:spacing w:line="360" w:lineRule="auto"/>
            </w:pPr>
            <w:r>
              <w:rPr>
                <w:rFonts w:hint="default" w:ascii="Times New Roman" w:hAnsi="Times New Roman" w:cs="Times New Roman"/>
                <w:sz w:val="24"/>
                <w:szCs w:val="24"/>
              </w:rPr>
              <w:t>β</w:t>
            </w:r>
          </w:p>
        </w:tc>
        <w:tc>
          <w:tcPr>
            <w:tcW w:w="1704" w:type="dxa"/>
          </w:tcPr>
          <w:p w14:paraId="6D306997">
            <w:pPr>
              <w:spacing w:line="360" w:lineRule="auto"/>
            </w:pPr>
            <w:r>
              <w:rPr>
                <w:rFonts w:hint="default" w:ascii="Times New Roman" w:hAnsi="Times New Roman" w:cs="Times New Roman"/>
                <w:sz w:val="24"/>
                <w:szCs w:val="24"/>
              </w:rPr>
              <w:t>0.3</w:t>
            </w:r>
          </w:p>
        </w:tc>
        <w:tc>
          <w:tcPr>
            <w:tcW w:w="1705" w:type="dxa"/>
          </w:tcPr>
          <w:p w14:paraId="66ACAF7B">
            <w:pPr>
              <w:spacing w:line="360" w:lineRule="auto"/>
            </w:pPr>
            <w:r>
              <w:rPr>
                <w:rFonts w:hint="default" w:ascii="Times New Roman" w:hAnsi="Times New Roman" w:cs="Times New Roman"/>
                <w:sz w:val="24"/>
                <w:szCs w:val="24"/>
              </w:rPr>
              <w:t>0.15–0.45</w:t>
            </w:r>
          </w:p>
        </w:tc>
        <w:tc>
          <w:tcPr>
            <w:tcW w:w="1705" w:type="dxa"/>
          </w:tcPr>
          <w:p w14:paraId="46C935E1">
            <w:pPr>
              <w:spacing w:line="360" w:lineRule="auto"/>
            </w:pPr>
            <w:r>
              <w:rPr>
                <w:rFonts w:hint="default" w:ascii="Times New Roman" w:hAnsi="Times New Roman" w:cs="Times New Roman"/>
                <w:sz w:val="24"/>
                <w:szCs w:val="24"/>
              </w:rPr>
              <w:t>Sensitivity to S</w:t>
            </w:r>
          </w:p>
        </w:tc>
      </w:tr>
    </w:tbl>
    <w:p w14:paraId="7A26BFC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8.2 Sensitivity analysis results (Supplementary Table S1)</w:t>
      </w:r>
    </w:p>
    <w:p w14:paraId="69D186B7">
      <w:pPr>
        <w:spacing w:line="360" w:lineRule="auto"/>
        <w:rPr>
          <w:rFonts w:hint="default" w:ascii="Times New Roman" w:hAnsi="Times New Roman" w:cs="Times New Roman"/>
          <w:sz w:val="24"/>
          <w:szCs w:val="24"/>
        </w:rPr>
      </w:pPr>
    </w:p>
    <w:p w14:paraId="6BFB17D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table below summarises the impact of varying key parameters by ±50% on two core predictions: the awakening time (T_awake) for a reference latent antigen and the critical number of clones (M_crit) required to trigger a cytokine storm. All other parameters fixed at illustrative values.</w:t>
      </w:r>
    </w:p>
    <w:p w14:paraId="229D5B76">
      <w:pPr>
        <w:spacing w:line="360" w:lineRule="auto"/>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30"/>
        <w:gridCol w:w="2130"/>
        <w:gridCol w:w="2131"/>
        <w:gridCol w:w="2131"/>
      </w:tblGrid>
      <w:tr w14:paraId="7120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2BFD3045">
            <w:pPr>
              <w:spacing w:line="360" w:lineRule="auto"/>
            </w:pPr>
            <w:bookmarkStart w:id="0" w:name="_GoBack"/>
            <w:r>
              <w:rPr>
                <w:rFonts w:hint="default" w:ascii="Times New Roman" w:hAnsi="Times New Roman" w:cs="Times New Roman"/>
                <w:sz w:val="24"/>
                <w:szCs w:val="24"/>
              </w:rPr>
              <w:t>Parameter</w:t>
            </w:r>
          </w:p>
        </w:tc>
        <w:tc>
          <w:tcPr>
            <w:tcW w:w="2130" w:type="dxa"/>
          </w:tcPr>
          <w:p w14:paraId="28B1490A">
            <w:pPr>
              <w:spacing w:line="360" w:lineRule="auto"/>
            </w:pPr>
            <w:r>
              <w:rPr>
                <w:rFonts w:hint="default" w:ascii="Times New Roman" w:hAnsi="Times New Roman" w:cs="Times New Roman"/>
                <w:sz w:val="24"/>
                <w:szCs w:val="24"/>
              </w:rPr>
              <w:t>Variation</w:t>
            </w:r>
          </w:p>
        </w:tc>
        <w:tc>
          <w:tcPr>
            <w:tcW w:w="2131" w:type="dxa"/>
          </w:tcPr>
          <w:p w14:paraId="7384A4EB">
            <w:pPr>
              <w:spacing w:line="360" w:lineRule="auto"/>
            </w:pPr>
            <w:r>
              <w:rPr>
                <w:rFonts w:hint="default" w:ascii="Times New Roman" w:hAnsi="Times New Roman" w:cs="Times New Roman"/>
                <w:sz w:val="24"/>
                <w:szCs w:val="24"/>
              </w:rPr>
              <w:t>T_awake change (days)</w:t>
            </w:r>
          </w:p>
        </w:tc>
        <w:tc>
          <w:tcPr>
            <w:tcW w:w="2131" w:type="dxa"/>
          </w:tcPr>
          <w:p w14:paraId="2ACCD0D2">
            <w:pPr>
              <w:spacing w:line="360" w:lineRule="auto"/>
            </w:pPr>
            <w:r>
              <w:rPr>
                <w:rFonts w:hint="default" w:ascii="Times New Roman" w:hAnsi="Times New Roman" w:cs="Times New Roman"/>
                <w:sz w:val="24"/>
                <w:szCs w:val="24"/>
              </w:rPr>
              <w:t>M_crit change (%)</w:t>
            </w:r>
          </w:p>
        </w:tc>
      </w:tr>
      <w:tr w14:paraId="24B3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49DE0A68">
            <w:pPr>
              <w:spacing w:line="360" w:lineRule="auto"/>
            </w:pPr>
            <w:r>
              <w:rPr>
                <w:rFonts w:hint="default" w:ascii="Times New Roman" w:hAnsi="Times New Roman" w:cs="Times New Roman"/>
                <w:sz w:val="24"/>
                <w:szCs w:val="24"/>
              </w:rPr>
              <w:t>L_low</w:t>
            </w:r>
          </w:p>
        </w:tc>
        <w:tc>
          <w:tcPr>
            <w:tcW w:w="2130" w:type="dxa"/>
          </w:tcPr>
          <w:p w14:paraId="1B107AF7">
            <w:pPr>
              <w:spacing w:line="360" w:lineRule="auto"/>
            </w:pPr>
            <w:r>
              <w:rPr>
                <w:rFonts w:hint="default" w:ascii="Times New Roman" w:hAnsi="Times New Roman" w:cs="Times New Roman"/>
                <w:sz w:val="24"/>
                <w:szCs w:val="24"/>
              </w:rPr>
              <w:t>+50% (15 pM)</w:t>
            </w:r>
          </w:p>
        </w:tc>
        <w:tc>
          <w:tcPr>
            <w:tcW w:w="2131" w:type="dxa"/>
          </w:tcPr>
          <w:p w14:paraId="34B1A458">
            <w:pPr>
              <w:spacing w:line="360" w:lineRule="auto"/>
            </w:pPr>
            <w:r>
              <w:rPr>
                <w:rFonts w:hint="default" w:ascii="Times New Roman" w:hAnsi="Times New Roman" w:cs="Times New Roman"/>
                <w:sz w:val="24"/>
                <w:szCs w:val="24"/>
              </w:rPr>
              <w:t>+3</w:t>
            </w:r>
          </w:p>
        </w:tc>
        <w:tc>
          <w:tcPr>
            <w:tcW w:w="2131" w:type="dxa"/>
          </w:tcPr>
          <w:p w14:paraId="147DC316">
            <w:pPr>
              <w:spacing w:line="360" w:lineRule="auto"/>
            </w:pPr>
            <w:r>
              <w:rPr>
                <w:rFonts w:hint="default" w:ascii="Times New Roman" w:hAnsi="Times New Roman" w:cs="Times New Roman"/>
                <w:sz w:val="24"/>
                <w:szCs w:val="24"/>
              </w:rPr>
              <w:t>+5%</w:t>
            </w:r>
          </w:p>
        </w:tc>
      </w:tr>
      <w:tr w14:paraId="5A6B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64899A89">
            <w:pPr>
              <w:spacing w:line="360" w:lineRule="auto"/>
            </w:pPr>
            <w:r>
              <w:rPr>
                <w:rFonts w:hint="default" w:ascii="Times New Roman" w:hAnsi="Times New Roman" w:cs="Times New Roman"/>
                <w:sz w:val="24"/>
                <w:szCs w:val="24"/>
              </w:rPr>
              <w:t>L_low</w:t>
            </w:r>
          </w:p>
        </w:tc>
        <w:tc>
          <w:tcPr>
            <w:tcW w:w="2130" w:type="dxa"/>
          </w:tcPr>
          <w:p w14:paraId="26DC5091">
            <w:pPr>
              <w:spacing w:line="360" w:lineRule="auto"/>
            </w:pPr>
            <w:r>
              <w:rPr>
                <w:rFonts w:hint="default" w:ascii="Times New Roman" w:hAnsi="Times New Roman" w:cs="Times New Roman"/>
                <w:sz w:val="24"/>
                <w:szCs w:val="24"/>
              </w:rPr>
              <w:t>–50% (5 pM)</w:t>
            </w:r>
          </w:p>
        </w:tc>
        <w:tc>
          <w:tcPr>
            <w:tcW w:w="2131" w:type="dxa"/>
          </w:tcPr>
          <w:p w14:paraId="016DE94A">
            <w:pPr>
              <w:spacing w:line="360" w:lineRule="auto"/>
            </w:pPr>
            <w:r>
              <w:rPr>
                <w:rFonts w:hint="default" w:ascii="Times New Roman" w:hAnsi="Times New Roman" w:cs="Times New Roman"/>
                <w:sz w:val="24"/>
                <w:szCs w:val="24"/>
              </w:rPr>
              <w:t>–2</w:t>
            </w:r>
          </w:p>
        </w:tc>
        <w:tc>
          <w:tcPr>
            <w:tcW w:w="2131" w:type="dxa"/>
          </w:tcPr>
          <w:p w14:paraId="73FA9221">
            <w:pPr>
              <w:spacing w:line="360" w:lineRule="auto"/>
            </w:pPr>
            <w:r>
              <w:rPr>
                <w:rFonts w:hint="default" w:ascii="Times New Roman" w:hAnsi="Times New Roman" w:cs="Times New Roman"/>
                <w:sz w:val="24"/>
                <w:szCs w:val="24"/>
              </w:rPr>
              <w:t>–4%</w:t>
            </w:r>
          </w:p>
        </w:tc>
      </w:tr>
      <w:tr w14:paraId="46E9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201A5F22">
            <w:pPr>
              <w:spacing w:line="360" w:lineRule="auto"/>
            </w:pPr>
            <w:r>
              <w:rPr>
                <w:rFonts w:hint="default" w:ascii="Times New Roman" w:hAnsi="Times New Roman" w:cs="Times New Roman"/>
                <w:sz w:val="24"/>
                <w:szCs w:val="24"/>
              </w:rPr>
              <w:t>L_high</w:t>
            </w:r>
          </w:p>
        </w:tc>
        <w:tc>
          <w:tcPr>
            <w:tcW w:w="2130" w:type="dxa"/>
          </w:tcPr>
          <w:p w14:paraId="37B97BDF">
            <w:pPr>
              <w:spacing w:line="360" w:lineRule="auto"/>
            </w:pPr>
            <w:r>
              <w:rPr>
                <w:rFonts w:hint="default" w:ascii="Times New Roman" w:hAnsi="Times New Roman" w:cs="Times New Roman"/>
                <w:sz w:val="24"/>
                <w:szCs w:val="24"/>
              </w:rPr>
              <w:t>+50% (75 pM)</w:t>
            </w:r>
          </w:p>
        </w:tc>
        <w:tc>
          <w:tcPr>
            <w:tcW w:w="2131" w:type="dxa"/>
          </w:tcPr>
          <w:p w14:paraId="69E2518C">
            <w:pPr>
              <w:spacing w:line="360" w:lineRule="auto"/>
            </w:pPr>
            <w:r>
              <w:rPr>
                <w:rFonts w:hint="default" w:ascii="Times New Roman" w:hAnsi="Times New Roman" w:cs="Times New Roman"/>
                <w:sz w:val="24"/>
                <w:szCs w:val="24"/>
              </w:rPr>
              <w:t>+8</w:t>
            </w:r>
          </w:p>
        </w:tc>
        <w:tc>
          <w:tcPr>
            <w:tcW w:w="2131" w:type="dxa"/>
          </w:tcPr>
          <w:p w14:paraId="54283931">
            <w:pPr>
              <w:spacing w:line="360" w:lineRule="auto"/>
            </w:pPr>
            <w:r>
              <w:rPr>
                <w:rFonts w:hint="default" w:ascii="Times New Roman" w:hAnsi="Times New Roman" w:cs="Times New Roman"/>
                <w:sz w:val="24"/>
                <w:szCs w:val="24"/>
              </w:rPr>
              <w:t>+15%</w:t>
            </w:r>
          </w:p>
        </w:tc>
      </w:tr>
      <w:tr w14:paraId="3B69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76A73BF1">
            <w:pPr>
              <w:spacing w:line="360" w:lineRule="auto"/>
            </w:pPr>
            <w:r>
              <w:rPr>
                <w:rFonts w:hint="default" w:ascii="Times New Roman" w:hAnsi="Times New Roman" w:cs="Times New Roman"/>
                <w:sz w:val="24"/>
                <w:szCs w:val="24"/>
              </w:rPr>
              <w:t>L_high</w:t>
            </w:r>
          </w:p>
        </w:tc>
        <w:tc>
          <w:tcPr>
            <w:tcW w:w="2130" w:type="dxa"/>
          </w:tcPr>
          <w:p w14:paraId="5816D206">
            <w:pPr>
              <w:spacing w:line="360" w:lineRule="auto"/>
            </w:pPr>
            <w:r>
              <w:rPr>
                <w:rFonts w:hint="default" w:ascii="Times New Roman" w:hAnsi="Times New Roman" w:cs="Times New Roman"/>
                <w:sz w:val="24"/>
                <w:szCs w:val="24"/>
              </w:rPr>
              <w:t>–50% (25 pM)</w:t>
            </w:r>
          </w:p>
        </w:tc>
        <w:tc>
          <w:tcPr>
            <w:tcW w:w="2131" w:type="dxa"/>
          </w:tcPr>
          <w:p w14:paraId="21FB7CA8">
            <w:pPr>
              <w:spacing w:line="360" w:lineRule="auto"/>
            </w:pPr>
            <w:r>
              <w:rPr>
                <w:rFonts w:hint="default" w:ascii="Times New Roman" w:hAnsi="Times New Roman" w:cs="Times New Roman"/>
                <w:sz w:val="24"/>
                <w:szCs w:val="24"/>
              </w:rPr>
              <w:t>–7</w:t>
            </w:r>
          </w:p>
        </w:tc>
        <w:tc>
          <w:tcPr>
            <w:tcW w:w="2131" w:type="dxa"/>
          </w:tcPr>
          <w:p w14:paraId="1BD557C1">
            <w:pPr>
              <w:spacing w:line="360" w:lineRule="auto"/>
            </w:pPr>
            <w:r>
              <w:rPr>
                <w:rFonts w:hint="default" w:ascii="Times New Roman" w:hAnsi="Times New Roman" w:cs="Times New Roman"/>
                <w:sz w:val="24"/>
                <w:szCs w:val="24"/>
              </w:rPr>
              <w:t>–12%</w:t>
            </w:r>
          </w:p>
        </w:tc>
      </w:tr>
      <w:tr w14:paraId="7706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6FC0714A">
            <w:pPr>
              <w:spacing w:line="360" w:lineRule="auto"/>
            </w:pPr>
            <w:r>
              <w:rPr>
                <w:rFonts w:hint="default" w:ascii="Times New Roman" w:hAnsi="Times New Roman" w:cs="Times New Roman"/>
                <w:sz w:val="24"/>
                <w:szCs w:val="24"/>
              </w:rPr>
              <w:t>S*</w:t>
            </w:r>
          </w:p>
        </w:tc>
        <w:tc>
          <w:tcPr>
            <w:tcW w:w="2130" w:type="dxa"/>
          </w:tcPr>
          <w:p w14:paraId="1C842CF1">
            <w:pPr>
              <w:spacing w:line="360" w:lineRule="auto"/>
            </w:pPr>
            <w:r>
              <w:rPr>
                <w:rFonts w:hint="default" w:ascii="Times New Roman" w:hAnsi="Times New Roman" w:cs="Times New Roman"/>
                <w:sz w:val="24"/>
                <w:szCs w:val="24"/>
              </w:rPr>
              <w:t>+50% (1.05)</w:t>
            </w:r>
          </w:p>
        </w:tc>
        <w:tc>
          <w:tcPr>
            <w:tcW w:w="2131" w:type="dxa"/>
          </w:tcPr>
          <w:p w14:paraId="612473AD">
            <w:pPr>
              <w:spacing w:line="360" w:lineRule="auto"/>
            </w:pPr>
            <w:r>
              <w:rPr>
                <w:rFonts w:hint="default" w:ascii="Times New Roman" w:hAnsi="Times New Roman" w:cs="Times New Roman"/>
                <w:sz w:val="24"/>
                <w:szCs w:val="24"/>
              </w:rPr>
              <w:t>–15</w:t>
            </w:r>
          </w:p>
        </w:tc>
        <w:tc>
          <w:tcPr>
            <w:tcW w:w="2131" w:type="dxa"/>
          </w:tcPr>
          <w:p w14:paraId="4D079A27">
            <w:pPr>
              <w:spacing w:line="360" w:lineRule="auto"/>
            </w:pPr>
            <w:r>
              <w:rPr>
                <w:rFonts w:hint="default" w:ascii="Times New Roman" w:hAnsi="Times New Roman" w:cs="Times New Roman"/>
                <w:sz w:val="24"/>
                <w:szCs w:val="24"/>
              </w:rPr>
              <w:t>–20%</w:t>
            </w:r>
          </w:p>
        </w:tc>
      </w:tr>
      <w:tr w14:paraId="72C0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2849B16E">
            <w:pPr>
              <w:spacing w:line="360" w:lineRule="auto"/>
            </w:pPr>
            <w:r>
              <w:rPr>
                <w:rFonts w:hint="default" w:ascii="Times New Roman" w:hAnsi="Times New Roman" w:cs="Times New Roman"/>
                <w:sz w:val="24"/>
                <w:szCs w:val="24"/>
              </w:rPr>
              <w:t>S*</w:t>
            </w:r>
          </w:p>
        </w:tc>
        <w:tc>
          <w:tcPr>
            <w:tcW w:w="2130" w:type="dxa"/>
          </w:tcPr>
          <w:p w14:paraId="0EE404C0">
            <w:pPr>
              <w:spacing w:line="360" w:lineRule="auto"/>
            </w:pPr>
            <w:r>
              <w:rPr>
                <w:rFonts w:hint="default" w:ascii="Times New Roman" w:hAnsi="Times New Roman" w:cs="Times New Roman"/>
                <w:sz w:val="24"/>
                <w:szCs w:val="24"/>
              </w:rPr>
              <w:t>–50% (0.35)</w:t>
            </w:r>
          </w:p>
        </w:tc>
        <w:tc>
          <w:tcPr>
            <w:tcW w:w="2131" w:type="dxa"/>
          </w:tcPr>
          <w:p w14:paraId="5DFD96FA">
            <w:pPr>
              <w:spacing w:line="360" w:lineRule="auto"/>
            </w:pPr>
            <w:r>
              <w:rPr>
                <w:rFonts w:hint="default" w:ascii="Times New Roman" w:hAnsi="Times New Roman" w:cs="Times New Roman"/>
                <w:sz w:val="24"/>
                <w:szCs w:val="24"/>
              </w:rPr>
              <w:t>+25</w:t>
            </w:r>
          </w:p>
        </w:tc>
        <w:tc>
          <w:tcPr>
            <w:tcW w:w="2131" w:type="dxa"/>
          </w:tcPr>
          <w:p w14:paraId="3A8A9FE3">
            <w:pPr>
              <w:spacing w:line="360" w:lineRule="auto"/>
            </w:pPr>
            <w:r>
              <w:rPr>
                <w:rFonts w:hint="default" w:ascii="Times New Roman" w:hAnsi="Times New Roman" w:cs="Times New Roman"/>
                <w:sz w:val="24"/>
                <w:szCs w:val="24"/>
              </w:rPr>
              <w:t>+25%</w:t>
            </w:r>
          </w:p>
        </w:tc>
      </w:tr>
      <w:tr w14:paraId="3243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44F974B4">
            <w:pPr>
              <w:spacing w:line="360" w:lineRule="auto"/>
            </w:pPr>
            <w:r>
              <w:rPr>
                <w:rFonts w:hint="default" w:ascii="Times New Roman" w:hAnsi="Times New Roman" w:cs="Times New Roman"/>
                <w:sz w:val="24"/>
                <w:szCs w:val="24"/>
              </w:rPr>
              <w:t>α_i (Tpex production)</w:t>
            </w:r>
          </w:p>
        </w:tc>
        <w:tc>
          <w:tcPr>
            <w:tcW w:w="2130" w:type="dxa"/>
          </w:tcPr>
          <w:p w14:paraId="7A7061B9">
            <w:pPr>
              <w:spacing w:line="360" w:lineRule="auto"/>
            </w:pPr>
            <w:r>
              <w:rPr>
                <w:rFonts w:hint="default" w:ascii="Times New Roman" w:hAnsi="Times New Roman" w:cs="Times New Roman"/>
                <w:sz w:val="24"/>
                <w:szCs w:val="24"/>
              </w:rPr>
              <w:t>+50%</w:t>
            </w:r>
          </w:p>
        </w:tc>
        <w:tc>
          <w:tcPr>
            <w:tcW w:w="2131" w:type="dxa"/>
          </w:tcPr>
          <w:p w14:paraId="5C26E8FE">
            <w:pPr>
              <w:spacing w:line="360" w:lineRule="auto"/>
            </w:pPr>
            <w:r>
              <w:rPr>
                <w:rFonts w:hint="default" w:ascii="Times New Roman" w:hAnsi="Times New Roman" w:cs="Times New Roman"/>
                <w:sz w:val="24"/>
                <w:szCs w:val="24"/>
              </w:rPr>
              <w:t>–30</w:t>
            </w:r>
          </w:p>
        </w:tc>
        <w:tc>
          <w:tcPr>
            <w:tcW w:w="2131" w:type="dxa"/>
          </w:tcPr>
          <w:p w14:paraId="78D9232A">
            <w:pPr>
              <w:spacing w:line="360" w:lineRule="auto"/>
            </w:pPr>
            <w:r>
              <w:rPr>
                <w:rFonts w:hint="default" w:ascii="Times New Roman" w:hAnsi="Times New Roman" w:cs="Times New Roman"/>
                <w:sz w:val="24"/>
                <w:szCs w:val="24"/>
              </w:rPr>
              <w:t>–8%</w:t>
            </w:r>
          </w:p>
        </w:tc>
      </w:tr>
      <w:tr w14:paraId="0119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0D5F2F6E">
            <w:pPr>
              <w:spacing w:line="360" w:lineRule="auto"/>
            </w:pPr>
            <w:r>
              <w:rPr>
                <w:rFonts w:hint="default" w:ascii="Times New Roman" w:hAnsi="Times New Roman" w:cs="Times New Roman"/>
                <w:sz w:val="24"/>
                <w:szCs w:val="24"/>
              </w:rPr>
              <w:t>α_i</w:t>
            </w:r>
          </w:p>
        </w:tc>
        <w:tc>
          <w:tcPr>
            <w:tcW w:w="2130" w:type="dxa"/>
          </w:tcPr>
          <w:p w14:paraId="2907CBC5">
            <w:pPr>
              <w:spacing w:line="360" w:lineRule="auto"/>
            </w:pPr>
            <w:r>
              <w:rPr>
                <w:rFonts w:hint="default" w:ascii="Times New Roman" w:hAnsi="Times New Roman" w:cs="Times New Roman"/>
                <w:sz w:val="24"/>
                <w:szCs w:val="24"/>
              </w:rPr>
              <w:t>–50%</w:t>
            </w:r>
          </w:p>
        </w:tc>
        <w:tc>
          <w:tcPr>
            <w:tcW w:w="2131" w:type="dxa"/>
          </w:tcPr>
          <w:p w14:paraId="401BD761">
            <w:pPr>
              <w:spacing w:line="360" w:lineRule="auto"/>
            </w:pPr>
            <w:r>
              <w:rPr>
                <w:rFonts w:hint="default" w:ascii="Times New Roman" w:hAnsi="Times New Roman" w:cs="Times New Roman"/>
                <w:sz w:val="24"/>
                <w:szCs w:val="24"/>
              </w:rPr>
              <w:t>+40</w:t>
            </w:r>
          </w:p>
        </w:tc>
        <w:tc>
          <w:tcPr>
            <w:tcW w:w="2131" w:type="dxa"/>
          </w:tcPr>
          <w:p w14:paraId="6E8DCE3E">
            <w:pPr>
              <w:spacing w:line="360" w:lineRule="auto"/>
            </w:pPr>
            <w:r>
              <w:rPr>
                <w:rFonts w:hint="default" w:ascii="Times New Roman" w:hAnsi="Times New Roman" w:cs="Times New Roman"/>
                <w:sz w:val="24"/>
                <w:szCs w:val="24"/>
              </w:rPr>
              <w:t>+10%</w:t>
            </w:r>
          </w:p>
        </w:tc>
      </w:tr>
      <w:tr w14:paraId="1812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1D87A679">
            <w:pPr>
              <w:spacing w:line="360" w:lineRule="auto"/>
            </w:pPr>
            <w:r>
              <w:rPr>
                <w:rFonts w:hint="default" w:ascii="Times New Roman" w:hAnsi="Times New Roman" w:cs="Times New Roman"/>
                <w:sz w:val="24"/>
                <w:szCs w:val="24"/>
              </w:rPr>
              <w:t>β_i (Tpex clearance)</w:t>
            </w:r>
          </w:p>
        </w:tc>
        <w:tc>
          <w:tcPr>
            <w:tcW w:w="2130" w:type="dxa"/>
          </w:tcPr>
          <w:p w14:paraId="225CD710">
            <w:pPr>
              <w:spacing w:line="360" w:lineRule="auto"/>
            </w:pPr>
            <w:r>
              <w:rPr>
                <w:rFonts w:hint="default" w:ascii="Times New Roman" w:hAnsi="Times New Roman" w:cs="Times New Roman"/>
                <w:sz w:val="24"/>
                <w:szCs w:val="24"/>
              </w:rPr>
              <w:t>+50%</w:t>
            </w:r>
          </w:p>
        </w:tc>
        <w:tc>
          <w:tcPr>
            <w:tcW w:w="2131" w:type="dxa"/>
          </w:tcPr>
          <w:p w14:paraId="3B6026C2">
            <w:pPr>
              <w:spacing w:line="360" w:lineRule="auto"/>
            </w:pPr>
            <w:r>
              <w:rPr>
                <w:rFonts w:hint="default" w:ascii="Times New Roman" w:hAnsi="Times New Roman" w:cs="Times New Roman"/>
                <w:sz w:val="24"/>
                <w:szCs w:val="24"/>
              </w:rPr>
              <w:t>+18</w:t>
            </w:r>
          </w:p>
        </w:tc>
        <w:tc>
          <w:tcPr>
            <w:tcW w:w="2131" w:type="dxa"/>
          </w:tcPr>
          <w:p w14:paraId="3813955E">
            <w:pPr>
              <w:spacing w:line="360" w:lineRule="auto"/>
            </w:pPr>
            <w:r>
              <w:rPr>
                <w:rFonts w:hint="default" w:ascii="Times New Roman" w:hAnsi="Times New Roman" w:cs="Times New Roman"/>
                <w:sz w:val="24"/>
                <w:szCs w:val="24"/>
              </w:rPr>
              <w:t>+6%</w:t>
            </w:r>
          </w:p>
        </w:tc>
      </w:tr>
      <w:tr w14:paraId="40DF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6E8BB37D">
            <w:pPr>
              <w:spacing w:line="360" w:lineRule="auto"/>
            </w:pPr>
            <w:r>
              <w:rPr>
                <w:rFonts w:hint="default" w:ascii="Times New Roman" w:hAnsi="Times New Roman" w:cs="Times New Roman"/>
                <w:sz w:val="24"/>
                <w:szCs w:val="24"/>
              </w:rPr>
              <w:t>β_i</w:t>
            </w:r>
          </w:p>
        </w:tc>
        <w:tc>
          <w:tcPr>
            <w:tcW w:w="2130" w:type="dxa"/>
          </w:tcPr>
          <w:p w14:paraId="71215D74">
            <w:pPr>
              <w:spacing w:line="360" w:lineRule="auto"/>
            </w:pPr>
            <w:r>
              <w:rPr>
                <w:rFonts w:hint="default" w:ascii="Times New Roman" w:hAnsi="Times New Roman" w:cs="Times New Roman"/>
                <w:sz w:val="24"/>
                <w:szCs w:val="24"/>
              </w:rPr>
              <w:t>–50%</w:t>
            </w:r>
          </w:p>
        </w:tc>
        <w:tc>
          <w:tcPr>
            <w:tcW w:w="2131" w:type="dxa"/>
          </w:tcPr>
          <w:p w14:paraId="1FD6E8D8">
            <w:pPr>
              <w:spacing w:line="360" w:lineRule="auto"/>
            </w:pPr>
            <w:r>
              <w:rPr>
                <w:rFonts w:hint="default" w:ascii="Times New Roman" w:hAnsi="Times New Roman" w:cs="Times New Roman"/>
                <w:sz w:val="24"/>
                <w:szCs w:val="24"/>
              </w:rPr>
              <w:t>–22</w:t>
            </w:r>
          </w:p>
        </w:tc>
        <w:tc>
          <w:tcPr>
            <w:tcW w:w="2131" w:type="dxa"/>
          </w:tcPr>
          <w:p w14:paraId="6BEB27D9">
            <w:pPr>
              <w:spacing w:line="360" w:lineRule="auto"/>
            </w:pPr>
            <w:r>
              <w:rPr>
                <w:rFonts w:hint="default" w:ascii="Times New Roman" w:hAnsi="Times New Roman" w:cs="Times New Roman"/>
                <w:sz w:val="24"/>
                <w:szCs w:val="24"/>
              </w:rPr>
              <w:t>–5%</w:t>
            </w:r>
          </w:p>
        </w:tc>
      </w:tr>
      <w:tr w14:paraId="3049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3417677E">
            <w:pPr>
              <w:spacing w:line="360" w:lineRule="auto"/>
            </w:pPr>
            <w:r>
              <w:rPr>
                <w:rFonts w:hint="default" w:ascii="Times New Roman" w:hAnsi="Times New Roman" w:cs="Times New Roman"/>
                <w:sz w:val="24"/>
                <w:szCs w:val="24"/>
              </w:rPr>
              <w:t>Coupling α</w:t>
            </w:r>
          </w:p>
        </w:tc>
        <w:tc>
          <w:tcPr>
            <w:tcW w:w="2130" w:type="dxa"/>
          </w:tcPr>
          <w:p w14:paraId="515E65B7">
            <w:pPr>
              <w:spacing w:line="360" w:lineRule="auto"/>
            </w:pPr>
            <w:r>
              <w:rPr>
                <w:rFonts w:hint="default" w:ascii="Times New Roman" w:hAnsi="Times New Roman" w:cs="Times New Roman"/>
                <w:sz w:val="24"/>
                <w:szCs w:val="24"/>
              </w:rPr>
              <w:t>+50% (0.75)</w:t>
            </w:r>
          </w:p>
        </w:tc>
        <w:tc>
          <w:tcPr>
            <w:tcW w:w="2131" w:type="dxa"/>
          </w:tcPr>
          <w:p w14:paraId="6E98B409">
            <w:pPr>
              <w:spacing w:line="360" w:lineRule="auto"/>
            </w:pPr>
            <w:r>
              <w:rPr>
                <w:rFonts w:hint="default" w:ascii="Times New Roman" w:hAnsi="Times New Roman" w:cs="Times New Roman"/>
                <w:sz w:val="24"/>
                <w:szCs w:val="24"/>
              </w:rPr>
              <w:t>(indirect)</w:t>
            </w:r>
          </w:p>
        </w:tc>
        <w:tc>
          <w:tcPr>
            <w:tcW w:w="2131" w:type="dxa"/>
          </w:tcPr>
          <w:p w14:paraId="1DB6A432">
            <w:pPr>
              <w:spacing w:line="360" w:lineRule="auto"/>
            </w:pPr>
            <w:r>
              <w:rPr>
                <w:rFonts w:hint="default" w:ascii="Times New Roman" w:hAnsi="Times New Roman" w:cs="Times New Roman"/>
                <w:sz w:val="24"/>
                <w:szCs w:val="24"/>
              </w:rPr>
              <w:t>–18% (synchrony easier)</w:t>
            </w:r>
          </w:p>
        </w:tc>
      </w:tr>
      <w:tr w14:paraId="3B30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21558021">
            <w:pPr>
              <w:spacing w:line="360" w:lineRule="auto"/>
            </w:pPr>
            <w:r>
              <w:rPr>
                <w:rFonts w:hint="default" w:ascii="Times New Roman" w:hAnsi="Times New Roman" w:cs="Times New Roman"/>
                <w:sz w:val="24"/>
                <w:szCs w:val="24"/>
              </w:rPr>
              <w:t>Coupling α</w:t>
            </w:r>
          </w:p>
        </w:tc>
        <w:tc>
          <w:tcPr>
            <w:tcW w:w="2130" w:type="dxa"/>
          </w:tcPr>
          <w:p w14:paraId="36024056">
            <w:pPr>
              <w:spacing w:line="360" w:lineRule="auto"/>
            </w:pPr>
            <w:r>
              <w:rPr>
                <w:rFonts w:hint="default" w:ascii="Times New Roman" w:hAnsi="Times New Roman" w:cs="Times New Roman"/>
                <w:sz w:val="24"/>
                <w:szCs w:val="24"/>
              </w:rPr>
              <w:t>–50% (0.25)</w:t>
            </w:r>
          </w:p>
        </w:tc>
        <w:tc>
          <w:tcPr>
            <w:tcW w:w="2131" w:type="dxa"/>
          </w:tcPr>
          <w:p w14:paraId="2A3BF2C0">
            <w:pPr>
              <w:spacing w:line="360" w:lineRule="auto"/>
            </w:pPr>
            <w:r>
              <w:rPr>
                <w:rFonts w:hint="default" w:ascii="Times New Roman" w:hAnsi="Times New Roman" w:cs="Times New Roman"/>
                <w:sz w:val="24"/>
                <w:szCs w:val="24"/>
              </w:rPr>
              <w:t>(indirect)</w:t>
            </w:r>
          </w:p>
        </w:tc>
        <w:tc>
          <w:tcPr>
            <w:tcW w:w="2131" w:type="dxa"/>
          </w:tcPr>
          <w:p w14:paraId="37B4C1D9">
            <w:pPr>
              <w:spacing w:line="360" w:lineRule="auto"/>
            </w:pPr>
            <w:r>
              <w:rPr>
                <w:rFonts w:hint="default" w:ascii="Times New Roman" w:hAnsi="Times New Roman" w:cs="Times New Roman"/>
                <w:sz w:val="24"/>
                <w:szCs w:val="24"/>
              </w:rPr>
              <w:t>+22% (synchrony harder)</w:t>
            </w:r>
          </w:p>
        </w:tc>
      </w:tr>
      <w:tr w14:paraId="397B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4CBC5432">
            <w:pPr>
              <w:spacing w:line="360" w:lineRule="auto"/>
            </w:pPr>
            <w:r>
              <w:rPr>
                <w:rFonts w:hint="default" w:ascii="Times New Roman" w:hAnsi="Times New Roman" w:cs="Times New Roman"/>
                <w:sz w:val="24"/>
                <w:szCs w:val="24"/>
              </w:rPr>
              <w:t>Damping β</w:t>
            </w:r>
          </w:p>
        </w:tc>
        <w:tc>
          <w:tcPr>
            <w:tcW w:w="2130" w:type="dxa"/>
          </w:tcPr>
          <w:p w14:paraId="0DFBAF23">
            <w:pPr>
              <w:spacing w:line="360" w:lineRule="auto"/>
            </w:pPr>
            <w:r>
              <w:rPr>
                <w:rFonts w:hint="default" w:ascii="Times New Roman" w:hAnsi="Times New Roman" w:cs="Times New Roman"/>
                <w:sz w:val="24"/>
                <w:szCs w:val="24"/>
              </w:rPr>
              <w:t>+50% (0.45)</w:t>
            </w:r>
          </w:p>
        </w:tc>
        <w:tc>
          <w:tcPr>
            <w:tcW w:w="2131" w:type="dxa"/>
          </w:tcPr>
          <w:p w14:paraId="0B05F568">
            <w:pPr>
              <w:spacing w:line="360" w:lineRule="auto"/>
            </w:pPr>
            <w:r>
              <w:rPr>
                <w:rFonts w:hint="default" w:ascii="Times New Roman" w:hAnsi="Times New Roman" w:cs="Times New Roman"/>
                <w:sz w:val="24"/>
                <w:szCs w:val="24"/>
              </w:rPr>
              <w:t>(indirect)</w:t>
            </w:r>
          </w:p>
        </w:tc>
        <w:tc>
          <w:tcPr>
            <w:tcW w:w="2131" w:type="dxa"/>
          </w:tcPr>
          <w:p w14:paraId="41430BC4">
            <w:pPr>
              <w:spacing w:line="360" w:lineRule="auto"/>
            </w:pPr>
            <w:r>
              <w:rPr>
                <w:rFonts w:hint="default" w:ascii="Times New Roman" w:hAnsi="Times New Roman" w:cs="Times New Roman"/>
                <w:sz w:val="24"/>
                <w:szCs w:val="24"/>
              </w:rPr>
              <w:t>+20%</w:t>
            </w:r>
          </w:p>
        </w:tc>
      </w:tr>
      <w:tr w14:paraId="5A67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tcPr>
          <w:p w14:paraId="769F2E7F">
            <w:pPr>
              <w:spacing w:line="360" w:lineRule="auto"/>
            </w:pPr>
            <w:r>
              <w:rPr>
                <w:rFonts w:hint="default" w:ascii="Times New Roman" w:hAnsi="Times New Roman" w:cs="Times New Roman"/>
                <w:sz w:val="24"/>
                <w:szCs w:val="24"/>
              </w:rPr>
              <w:t>Damping β</w:t>
            </w:r>
          </w:p>
        </w:tc>
        <w:tc>
          <w:tcPr>
            <w:tcW w:w="2130" w:type="dxa"/>
          </w:tcPr>
          <w:p w14:paraId="5B2A526F">
            <w:pPr>
              <w:spacing w:line="360" w:lineRule="auto"/>
            </w:pPr>
            <w:r>
              <w:rPr>
                <w:rFonts w:hint="default" w:ascii="Times New Roman" w:hAnsi="Times New Roman" w:cs="Times New Roman"/>
                <w:sz w:val="24"/>
                <w:szCs w:val="24"/>
              </w:rPr>
              <w:t>–50% (0.15)</w:t>
            </w:r>
          </w:p>
        </w:tc>
        <w:tc>
          <w:tcPr>
            <w:tcW w:w="2131" w:type="dxa"/>
          </w:tcPr>
          <w:p w14:paraId="3F499C43">
            <w:pPr>
              <w:spacing w:line="360" w:lineRule="auto"/>
            </w:pPr>
            <w:r>
              <w:rPr>
                <w:rFonts w:hint="default" w:ascii="Times New Roman" w:hAnsi="Times New Roman" w:cs="Times New Roman"/>
                <w:sz w:val="24"/>
                <w:szCs w:val="24"/>
              </w:rPr>
              <w:t>(indirect)</w:t>
            </w:r>
          </w:p>
        </w:tc>
        <w:tc>
          <w:tcPr>
            <w:tcW w:w="2131" w:type="dxa"/>
          </w:tcPr>
          <w:p w14:paraId="5615CAC0">
            <w:pPr>
              <w:spacing w:line="360" w:lineRule="auto"/>
            </w:pPr>
            <w:r>
              <w:rPr>
                <w:rFonts w:hint="default" w:ascii="Times New Roman" w:hAnsi="Times New Roman" w:cs="Times New Roman"/>
                <w:sz w:val="24"/>
                <w:szCs w:val="24"/>
              </w:rPr>
              <w:t>–15%</w:t>
            </w:r>
          </w:p>
        </w:tc>
      </w:tr>
      <w:bookmarkEnd w:id="0"/>
    </w:tbl>
    <w:p w14:paraId="275B6A5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Interpretation: The qualitative predictions (existence of awakening, coherent amplification, storm threshold) are robust across the tested ranges. Quantitative values (e.g., exact number of clones) shift but remain within a factor of ~1.5. The most sensitive parameter is S*, which strongly influences both awakening time and storm threshold, underscoring the need for experimental calibration of this critical value.</w:t>
      </w:r>
    </w:p>
    <w:p w14:paraId="19FE2E8B">
      <w:pPr>
        <w:spacing w:line="360" w:lineRule="auto"/>
        <w:rPr>
          <w:rFonts w:hint="default" w:ascii="Times New Roman" w:hAnsi="Times New Roman" w:cs="Times New Roman"/>
          <w:sz w:val="24"/>
          <w:szCs w:val="24"/>
        </w:rPr>
      </w:pPr>
    </w:p>
    <w:p w14:paraId="6EFEF22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8.3 Multi‑clone mixture simulation code template</w:t>
      </w:r>
    </w:p>
    <w:p w14:paraId="0C0AA1CF">
      <w:pPr>
        <w:spacing w:line="360" w:lineRule="auto"/>
        <w:rPr>
          <w:rFonts w:hint="default" w:ascii="Times New Roman" w:hAnsi="Times New Roman" w:cs="Times New Roman"/>
          <w:sz w:val="24"/>
          <w:szCs w:val="24"/>
        </w:rPr>
      </w:pPr>
    </w:p>
    <w:p w14:paraId="2341F98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 basic template for simulating multiple clones with different frequencies and coupling is provided below. This can be extended to include the antigen classes described in Section 6.3 of the main text.</w:t>
      </w:r>
    </w:p>
    <w:p w14:paraId="7EDFB204">
      <w:pPr>
        <w:spacing w:line="360" w:lineRule="auto"/>
        <w:rPr>
          <w:rFonts w:hint="default" w:ascii="Times New Roman" w:hAnsi="Times New Roman" w:cs="Times New Roman"/>
          <w:sz w:val="24"/>
          <w:szCs w:val="24"/>
        </w:rPr>
      </w:pPr>
    </w:p>
    <w:p w14:paraId="08D38AE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python</w:t>
      </w:r>
    </w:p>
    <w:p w14:paraId="60D7E16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import numpy as np</w:t>
      </w:r>
    </w:p>
    <w:p w14:paraId="766B795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from scipy.integrate import solve_ivp</w:t>
      </w:r>
    </w:p>
    <w:p w14:paraId="654A6514">
      <w:pPr>
        <w:spacing w:line="360" w:lineRule="auto"/>
        <w:rPr>
          <w:rFonts w:hint="default" w:ascii="Times New Roman" w:hAnsi="Times New Roman" w:cs="Times New Roman"/>
          <w:sz w:val="24"/>
          <w:szCs w:val="24"/>
        </w:rPr>
      </w:pPr>
    </w:p>
    <w:p w14:paraId="4B75CF5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def kuramoto_system(t, theta, omega, K, N):</w:t>
      </w:r>
    </w:p>
    <w:p w14:paraId="4BD36C6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"""Kuramoto model ODE for phase evolution."""</w:t>
      </w:r>
    </w:p>
    <w:p w14:paraId="60F3CE3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dtheta = omega + (K/N) * np.sum(np.sin(theta - theta[:,None]), axis=0)</w:t>
      </w:r>
    </w:p>
    <w:p w14:paraId="5DE52F5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return dtheta</w:t>
      </w:r>
    </w:p>
    <w:p w14:paraId="712ED819">
      <w:pPr>
        <w:spacing w:line="360" w:lineRule="auto"/>
        <w:rPr>
          <w:rFonts w:hint="default" w:ascii="Times New Roman" w:hAnsi="Times New Roman" w:cs="Times New Roman"/>
          <w:sz w:val="24"/>
          <w:szCs w:val="24"/>
        </w:rPr>
      </w:pPr>
    </w:p>
    <w:p w14:paraId="673990B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Example parameters</w:t>
      </w:r>
    </w:p>
    <w:p w14:paraId="120284E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N_clones = 5</w:t>
      </w:r>
    </w:p>
    <w:p w14:paraId="43548BD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omega = np.array([0.2, 0.5, 0.8, 1.0, 1.2])  # intrinsic frequencies</w:t>
      </w:r>
    </w:p>
    <w:p w14:paraId="4E5258E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K = 1.2  # coupling strength (should be &gt; K_c for synchrony)</w:t>
      </w:r>
    </w:p>
    <w:p w14:paraId="6B9AED5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t_span = (0, 500)</w:t>
      </w:r>
    </w:p>
    <w:p w14:paraId="0C41514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theta0 = np.random.uniform(0, 2*np.pi, N_clones)</w:t>
      </w:r>
    </w:p>
    <w:p w14:paraId="174BA5A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sol = solve_ivp(lambda t, y: kuramoto_system(t, y, omega, K, N_clones),</w:t>
      </w:r>
    </w:p>
    <w:p w14:paraId="676F844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t_span, theta0, t_eval=np.linspace(0, 500, 2000))</w:t>
      </w:r>
    </w:p>
    <w:p w14:paraId="75751A0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Compute total IL-2 as sum of amplitudes times cos(theta)</w:t>
      </w:r>
    </w:p>
    <w:p w14:paraId="772E4AA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amplitudes = np.array([1.0, 0.8, 0.6, 0.6, 0.5])  # arbitrary</w:t>
      </w:r>
    </w:p>
    <w:p w14:paraId="680E5CA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IL2_total = np.sum(amplitudes * np.cos(sol.y), axis=0)</w:t>
      </w:r>
    </w:p>
    <w:p w14:paraId="0D17904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template can be adapted to simulate the coherent amplification effect shown in Figure 5 of the main text.</w:t>
      </w:r>
    </w:p>
    <w:p w14:paraId="60DBCDC8">
      <w:pPr>
        <w:spacing w:line="360" w:lineRule="auto"/>
        <w:rPr>
          <w:rFonts w:hint="default" w:ascii="Times New Roman" w:hAnsi="Times New Roman" w:cs="Times New Roman"/>
          <w:sz w:val="24"/>
          <w:szCs w:val="24"/>
        </w:rPr>
      </w:pPr>
    </w:p>
    <w:p w14:paraId="3231E2B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End of Supplementary Materials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auto"/>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52B3F"/>
    <w:rsid w:val="4DC52B3F"/>
    <w:rsid w:val="629B43B7"/>
    <w:rsid w:val="779E7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9</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2026-05-20T10:36:00Z</dcterms:created>
  <dc:creator>远山的呼唤</dc:creator>
  <cp:lastModifiedBy>远山的呼唤</cp:lastModifiedBy>
  <dcterms:modified xsi:type="dcterms:W3CDTF">2026-05-20T10:46:53Z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F13C5BD33B2348068269F9B61603D505_13</vt:lpwstr>
  </property>
  <property fmtid="{D5CDD505-2E9C-101B-9397-08002B2CF9AE}" pid="4" name="KSOTemplateDocerSaveRecord">
    <vt:lpwstr>eyJoZGlkIjoiNTliMjNlOWVjNTA4ZTUwYzNiNzMxNmVmOWRiNWEzYjgiLCJ1c2VySWQiOiI0NDY1NzU5OTAifQ==</vt:lpwstr>
  </property>
</Properties>
</file>