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89022" w14:textId="77777777" w:rsidR="005D555B" w:rsidRPr="005D555B" w:rsidRDefault="005D555B" w:rsidP="005D555B">
      <w:pPr>
        <w:rPr>
          <w:rFonts w:eastAsiaTheme="minorEastAsia" w:cstheme="minorHAnsi"/>
          <w:b/>
          <w:bCs/>
          <w:sz w:val="28"/>
          <w:szCs w:val="28"/>
        </w:rPr>
      </w:pPr>
      <w:r w:rsidRPr="005D555B">
        <w:rPr>
          <w:rFonts w:eastAsiaTheme="minorEastAsia" w:cstheme="minorHAnsi"/>
          <w:b/>
          <w:bCs/>
          <w:sz w:val="28"/>
          <w:szCs w:val="28"/>
        </w:rPr>
        <w:t>Supplementary Information</w:t>
      </w:r>
    </w:p>
    <w:p w14:paraId="3187D090" w14:textId="1383D82A" w:rsidR="005D555B" w:rsidRPr="00BC52CC" w:rsidRDefault="005D555B" w:rsidP="005D555B">
      <w:pPr>
        <w:rPr>
          <w:rFonts w:eastAsiaTheme="minorEastAsia" w:cstheme="minorHAnsi"/>
          <w:b/>
          <w:bCs/>
          <w:sz w:val="28"/>
          <w:szCs w:val="28"/>
        </w:rPr>
      </w:pPr>
      <w:r w:rsidRPr="00BC52CC">
        <w:rPr>
          <w:rFonts w:eastAsiaTheme="minorEastAsia" w:cstheme="minorHAnsi"/>
          <w:b/>
          <w:bCs/>
          <w:sz w:val="28"/>
          <w:szCs w:val="28"/>
        </w:rPr>
        <w:t xml:space="preserve"> </w:t>
      </w:r>
    </w:p>
    <w:p w14:paraId="4258FED3" w14:textId="77777777" w:rsidR="005D555B" w:rsidRPr="00BC52CC" w:rsidRDefault="005D555B" w:rsidP="005D555B">
      <w:pPr>
        <w:rPr>
          <w:rFonts w:eastAsiaTheme="minorEastAsia" w:cstheme="minorHAnsi"/>
          <w:b/>
          <w:bCs/>
          <w:sz w:val="28"/>
          <w:szCs w:val="28"/>
        </w:rPr>
      </w:pPr>
      <w:r w:rsidRPr="00BC52CC">
        <w:rPr>
          <w:rFonts w:eastAsiaTheme="minorEastAsia" w:cstheme="minorHAnsi"/>
          <w:b/>
          <w:bCs/>
          <w:sz w:val="28"/>
          <w:szCs w:val="28"/>
        </w:rPr>
        <w:t>Set III mortar samples experiment</w:t>
      </w:r>
    </w:p>
    <w:p w14:paraId="6B34CEAC" w14:textId="0B4970F5" w:rsidR="005D555B" w:rsidRPr="00BC52CC" w:rsidRDefault="005D555B" w:rsidP="005D555B">
      <w:pPr>
        <w:tabs>
          <w:tab w:val="left" w:pos="720"/>
        </w:tabs>
        <w:spacing w:line="276" w:lineRule="auto"/>
        <w:ind w:right="-20"/>
        <w:jc w:val="both"/>
        <w:rPr>
          <w:rFonts w:cstheme="minorHAnsi"/>
          <w:b/>
          <w:bCs/>
          <w:sz w:val="28"/>
          <w:szCs w:val="28"/>
        </w:rPr>
      </w:pPr>
      <w:r w:rsidRPr="00BC52CC">
        <w:rPr>
          <w:rFonts w:eastAsiaTheme="minorEastAsia" w:cstheme="minorHAnsi"/>
          <w:sz w:val="24"/>
          <w:szCs w:val="24"/>
        </w:rPr>
        <w:t xml:space="preserve">The mixing, casting and cracking procedure for the Set III mortar prisms was identical to the method described in Bagga et al </w:t>
      </w:r>
      <w:r w:rsidRPr="00BC52CC">
        <w:rPr>
          <w:rFonts w:eastAsiaTheme="minorEastAsia" w:cstheme="minorHAnsi"/>
          <w:sz w:val="24"/>
          <w:szCs w:val="24"/>
        </w:rPr>
        <w:fldChar w:fldCharType="begin"/>
      </w:r>
      <w:r>
        <w:rPr>
          <w:rFonts w:eastAsiaTheme="minorEastAsia" w:cstheme="minorHAnsi"/>
          <w:sz w:val="24"/>
          <w:szCs w:val="24"/>
        </w:rPr>
        <w:instrText xml:space="preserve"> ADDIN EN.CITE &lt;EndNote&gt;&lt;Cite ExcludeAuth="1"&gt;&lt;Author&gt;Bagga&lt;/Author&gt;&lt;Year&gt;2023&lt;/Year&gt;&lt;RecNum&gt;5&lt;/RecNum&gt;&lt;DisplayText&gt;[1]&lt;/DisplayText&gt;&lt;record&gt;&lt;rec-number&gt;5&lt;/rec-number&gt;&lt;foreign-keys&gt;&lt;key app="EN" db-id="sxtr2ept8spssze2pwevtxpjwzv2ve229aap" timestamp="1732117477"&gt;5&lt;/key&gt;&lt;/foreign-keys&gt;&lt;ref-type name="Journal Article"&gt;17&lt;/ref-type&gt;&lt;contributors&gt;&lt;authors&gt;&lt;author&gt;Bagga, Manpreet&lt;/author&gt;&lt;author&gt;Justo-Reinoso, Ismael&lt;/author&gt;&lt;author&gt;Hamley-Bennett, Charlotte&lt;/author&gt;&lt;author&gt;Merces, George&lt;/author&gt;&lt;author&gt;Luli, Saimir&lt;/author&gt;&lt;author&gt;Akono, Ange Therese&lt;/author&gt;&lt;author&gt;Masoero, Enrico&lt;/author&gt;&lt;author&gt;Paine, Kevin&lt;/author&gt;&lt;author&gt;Gebhard, Susanne&lt;/author&gt;&lt;author&gt;Ofiţeru, Irina D.&lt;/author&gt;&lt;/authors&gt;&lt;/contributors&gt;&lt;titles&gt;&lt;title&gt;Assessing the potential application of bacteria-based self-healing cementitious materials for enhancing durability of wastewater treatment infrastructure&lt;/title&gt;&lt;secondary-title&gt;Cement and Concrete Composites&lt;/secondary-title&gt;&lt;/titles&gt;&lt;periodical&gt;&lt;full-title&gt;Cement and Concrete Composites&lt;/full-title&gt;&lt;/periodical&gt;&lt;pages&gt;105259&lt;/pages&gt;&lt;volume&gt;143&lt;/volume&gt;&lt;keywords&gt;&lt;keyword&gt;Self-healing&lt;/keyword&gt;&lt;keyword&gt;MICP&lt;/keyword&gt;&lt;keyword&gt;Field application&lt;/keyword&gt;&lt;keyword&gt;Wastewater&lt;/keyword&gt;&lt;keyword&gt;Sustainability&lt;/keyword&gt;&lt;/keywords&gt;&lt;dates&gt;&lt;year&gt;2023&lt;/year&gt;&lt;pub-dates&gt;&lt;date&gt;2023/10/01/&lt;/date&gt;&lt;/pub-dates&gt;&lt;/dates&gt;&lt;isbn&gt;0958-9465&lt;/isbn&gt;&lt;urls&gt;&lt;related-urls&gt;&lt;url&gt;https://www.sciencedirect.com/science/article/pii/S0958946523003335&lt;/url&gt;&lt;/related-urls&gt;&lt;/urls&gt;&lt;electronic-resource-num&gt;https://doi.org/10.1016/j.cemconcomp.2023.105259&lt;/electronic-resource-num&gt;&lt;/record&gt;&lt;/Cite&gt;&lt;/EndNote&gt;</w:instrText>
      </w:r>
      <w:r w:rsidRPr="00BC52CC">
        <w:rPr>
          <w:rFonts w:eastAsiaTheme="minorEastAsia" w:cstheme="minorHAnsi"/>
          <w:sz w:val="24"/>
          <w:szCs w:val="24"/>
        </w:rPr>
        <w:fldChar w:fldCharType="separate"/>
      </w:r>
      <w:r>
        <w:rPr>
          <w:rFonts w:eastAsiaTheme="minorEastAsia" w:cstheme="minorHAnsi"/>
          <w:noProof/>
          <w:sz w:val="24"/>
          <w:szCs w:val="24"/>
        </w:rPr>
        <w:t>[1]</w:t>
      </w:r>
      <w:r w:rsidRPr="00BC52CC">
        <w:rPr>
          <w:rFonts w:eastAsiaTheme="minorEastAsia" w:cstheme="minorHAnsi"/>
          <w:sz w:val="24"/>
          <w:szCs w:val="24"/>
        </w:rPr>
        <w:fldChar w:fldCharType="end"/>
      </w:r>
      <w:r w:rsidRPr="00BC52CC">
        <w:rPr>
          <w:rFonts w:eastAsiaTheme="minorEastAsia" w:cstheme="minorHAnsi"/>
          <w:sz w:val="24"/>
          <w:szCs w:val="24"/>
        </w:rPr>
        <w:t>.</w:t>
      </w:r>
      <w:r w:rsidRPr="00BC52CC">
        <w:rPr>
          <w:rFonts w:cstheme="minorHAnsi"/>
          <w:b/>
          <w:bCs/>
          <w:sz w:val="28"/>
          <w:szCs w:val="28"/>
        </w:rPr>
        <w:t xml:space="preserve"> </w:t>
      </w:r>
      <w:r w:rsidRPr="00BC52CC">
        <w:rPr>
          <w:rFonts w:eastAsiaTheme="minorEastAsia" w:cstheme="minorHAnsi"/>
          <w:color w:val="000000" w:themeColor="text1"/>
          <w:sz w:val="24"/>
          <w:szCs w:val="24"/>
        </w:rPr>
        <w:t xml:space="preserve">After 28 days of curing, the top third of each prism was wrapped with carbon fibre-reinforced polymer (CFRP) to prevent complete fracture and inducing a 0.5 mm crack width through three-point bending using a 100 </w:t>
      </w:r>
      <w:proofErr w:type="spellStart"/>
      <w:r w:rsidRPr="00BC52CC">
        <w:rPr>
          <w:rFonts w:eastAsiaTheme="minorEastAsia" w:cstheme="minorHAnsi"/>
          <w:color w:val="000000" w:themeColor="text1"/>
          <w:sz w:val="24"/>
          <w:szCs w:val="24"/>
        </w:rPr>
        <w:t>kN</w:t>
      </w:r>
      <w:proofErr w:type="spellEnd"/>
      <w:r w:rsidRPr="00BC52CC">
        <w:rPr>
          <w:rFonts w:eastAsiaTheme="minorEastAsia" w:cstheme="minorHAnsi"/>
          <w:color w:val="000000" w:themeColor="text1"/>
          <w:sz w:val="24"/>
          <w:szCs w:val="24"/>
        </w:rPr>
        <w:t xml:space="preserve"> </w:t>
      </w:r>
      <w:proofErr w:type="spellStart"/>
      <w:r w:rsidRPr="00BC52CC">
        <w:rPr>
          <w:rFonts w:eastAsiaTheme="minorEastAsia" w:cstheme="minorHAnsi"/>
          <w:color w:val="000000" w:themeColor="text1"/>
          <w:sz w:val="24"/>
          <w:szCs w:val="24"/>
        </w:rPr>
        <w:t>Dartec</w:t>
      </w:r>
      <w:proofErr w:type="spellEnd"/>
      <w:r w:rsidRPr="00BC52CC">
        <w:rPr>
          <w:rFonts w:eastAsiaTheme="minorEastAsia" w:cstheme="minorHAnsi"/>
          <w:color w:val="000000" w:themeColor="text1"/>
          <w:sz w:val="24"/>
          <w:szCs w:val="24"/>
        </w:rPr>
        <w:t>-Instron hydraulic loading frame. Two points along the crack were marked equidistant from the edge using a waterproof pen for subsequent monitoring. A baseline measurement of crack width was taken using an optical microscope before the prisms were placed under healing conditions.</w:t>
      </w:r>
    </w:p>
    <w:p w14:paraId="63E99D82" w14:textId="77777777" w:rsidR="005D555B" w:rsidRPr="00BC52CC" w:rsidRDefault="005D555B" w:rsidP="005D555B">
      <w:pPr>
        <w:jc w:val="both"/>
        <w:rPr>
          <w:rFonts w:cstheme="minorHAnsi"/>
          <w:b/>
          <w:bCs/>
          <w:color w:val="000000" w:themeColor="text1"/>
          <w:sz w:val="28"/>
          <w:szCs w:val="28"/>
        </w:rPr>
      </w:pPr>
      <w:r w:rsidRPr="00BC52CC">
        <w:rPr>
          <w:rFonts w:cstheme="minorHAnsi"/>
          <w:sz w:val="24"/>
          <w:szCs w:val="24"/>
        </w:rPr>
        <w:t xml:space="preserve">The self-healing evaluation of Set III mortar prisms was conducted exclusively under laboratory conditions. </w:t>
      </w:r>
      <w:r w:rsidRPr="00BC52CC">
        <w:rPr>
          <w:rFonts w:eastAsiaTheme="minorEastAsia" w:cstheme="minorHAnsi"/>
          <w:sz w:val="24"/>
          <w:szCs w:val="24"/>
        </w:rPr>
        <w:t>The different mixes of Set III (i.e., SIII_R, SIII_R+GM_II_ACG-Ø and SIII_R+GM_II_ACG-S) were placed in independent plastic containers with local tap water (Bath, UK) and kept open to the atmosphere. The water level was maintained 10 mm below the top of the specimen, keeping the crack humid and exposed to air. The mortar prisms were kept at 20°C ± 3°C and the crack healing was visually inspected weekly for the 28 days of healing using a digital microscope (VHX-6000, Keyence, Japan).  The crack images were obtained directly using the microscope’s automated image stitching function.</w:t>
      </w:r>
    </w:p>
    <w:p w14:paraId="144C7C57" w14:textId="77777777" w:rsidR="005D555B" w:rsidRPr="00BC52CC" w:rsidRDefault="005D555B" w:rsidP="005D555B">
      <w:pPr>
        <w:spacing w:line="257" w:lineRule="auto"/>
        <w:ind w:left="-20" w:right="-20"/>
        <w:jc w:val="both"/>
        <w:rPr>
          <w:rFonts w:eastAsia="Arial" w:cstheme="minorHAnsi"/>
          <w:color w:val="000000" w:themeColor="text1"/>
          <w:sz w:val="20"/>
          <w:szCs w:val="20"/>
        </w:rPr>
      </w:pPr>
      <w:r w:rsidRPr="00BC52CC">
        <w:rPr>
          <w:rFonts w:eastAsia="Arial" w:cstheme="minorHAnsi"/>
          <w:color w:val="000000" w:themeColor="text1"/>
          <w:sz w:val="24"/>
          <w:szCs w:val="24"/>
        </w:rPr>
        <w:t xml:space="preserve">The complete crack images of all mortar prisms from Set III, obtained immediately after cracking (day 0) and after the </w:t>
      </w:r>
      <w:proofErr w:type="gramStart"/>
      <w:r w:rsidRPr="00BC52CC">
        <w:rPr>
          <w:rFonts w:eastAsia="Arial" w:cstheme="minorHAnsi"/>
          <w:color w:val="000000" w:themeColor="text1"/>
          <w:sz w:val="24"/>
          <w:szCs w:val="24"/>
        </w:rPr>
        <w:t>28 day</w:t>
      </w:r>
      <w:proofErr w:type="gramEnd"/>
      <w:r w:rsidRPr="00BC52CC">
        <w:rPr>
          <w:rFonts w:eastAsia="Arial" w:cstheme="minorHAnsi"/>
          <w:color w:val="000000" w:themeColor="text1"/>
          <w:sz w:val="24"/>
          <w:szCs w:val="24"/>
        </w:rPr>
        <w:t xml:space="preserve"> healing process, are presented in </w:t>
      </w:r>
      <w:r w:rsidRPr="00BC52CC">
        <w:rPr>
          <w:rFonts w:eastAsia="Arial" w:cstheme="minorHAnsi"/>
          <w:b/>
          <w:bCs/>
          <w:color w:val="000000" w:themeColor="text1"/>
          <w:sz w:val="24"/>
          <w:szCs w:val="24"/>
        </w:rPr>
        <w:t>Figures A1 – A6</w:t>
      </w:r>
      <w:r w:rsidRPr="00BC52CC">
        <w:rPr>
          <w:rFonts w:eastAsia="Arial" w:cstheme="minorHAnsi"/>
          <w:color w:val="000000" w:themeColor="text1"/>
          <w:sz w:val="20"/>
          <w:szCs w:val="20"/>
        </w:rPr>
        <w:t>.</w:t>
      </w:r>
    </w:p>
    <w:p w14:paraId="554ACF99" w14:textId="77777777" w:rsidR="005D555B" w:rsidRPr="00BC52CC" w:rsidRDefault="005D555B" w:rsidP="005D555B">
      <w:pPr>
        <w:rPr>
          <w:rFonts w:cstheme="minorHAnsi"/>
          <w:b/>
          <w:bCs/>
          <w:sz w:val="28"/>
          <w:szCs w:val="28"/>
        </w:rPr>
      </w:pPr>
      <w:r w:rsidRPr="00BC52CC">
        <w:rPr>
          <w:rFonts w:cstheme="minorHAnsi"/>
          <w:b/>
          <w:bCs/>
          <w:noProof/>
          <w:sz w:val="28"/>
          <w:szCs w:val="28"/>
        </w:rPr>
        <w:drawing>
          <wp:inline distT="0" distB="0" distL="0" distR="0" wp14:anchorId="0E5DBCE1" wp14:editId="3D23BFAE">
            <wp:extent cx="5943600" cy="1289685"/>
            <wp:effectExtent l="0" t="0" r="0" b="5715"/>
            <wp:docPr id="2095060865" name="Picture 11" descr="A close-up of a crack i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060865" name="Picture 11" descr="A close-up of a crack in a wall&#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1289685"/>
                    </a:xfrm>
                    <a:prstGeom prst="rect">
                      <a:avLst/>
                    </a:prstGeom>
                  </pic:spPr>
                </pic:pic>
              </a:graphicData>
            </a:graphic>
          </wp:inline>
        </w:drawing>
      </w:r>
    </w:p>
    <w:p w14:paraId="320B110D" w14:textId="77777777" w:rsidR="005D555B" w:rsidRPr="00BC52CC" w:rsidRDefault="005D555B" w:rsidP="005D555B">
      <w:pPr>
        <w:rPr>
          <w:rFonts w:cstheme="minorHAnsi"/>
          <w:b/>
          <w:bCs/>
          <w:sz w:val="28"/>
          <w:szCs w:val="28"/>
        </w:rPr>
      </w:pPr>
      <w:r w:rsidRPr="00BC52CC">
        <w:rPr>
          <w:rFonts w:cstheme="minorHAnsi"/>
          <w:b/>
          <w:bCs/>
          <w:noProof/>
          <w:sz w:val="28"/>
          <w:szCs w:val="28"/>
        </w:rPr>
        <w:drawing>
          <wp:inline distT="0" distB="0" distL="0" distR="0" wp14:anchorId="1F7D5C0A" wp14:editId="2740BFB4">
            <wp:extent cx="5943600" cy="1273175"/>
            <wp:effectExtent l="0" t="0" r="0" b="3175"/>
            <wp:docPr id="2010160167" name="Picture 10" descr="A close-up of several images of a ston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160167" name="Picture 10" descr="A close-up of several images of a stone wall&#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1273175"/>
                    </a:xfrm>
                    <a:prstGeom prst="rect">
                      <a:avLst/>
                    </a:prstGeom>
                  </pic:spPr>
                </pic:pic>
              </a:graphicData>
            </a:graphic>
          </wp:inline>
        </w:drawing>
      </w:r>
    </w:p>
    <w:p w14:paraId="6D99EBD9" w14:textId="77777777" w:rsidR="005D555B" w:rsidRPr="00BC52CC" w:rsidRDefault="005D555B" w:rsidP="005D555B">
      <w:pPr>
        <w:rPr>
          <w:rFonts w:cstheme="minorHAnsi"/>
        </w:rPr>
      </w:pPr>
      <w:r w:rsidRPr="00BC52CC">
        <w:rPr>
          <w:rFonts w:cstheme="minorHAnsi"/>
          <w:noProof/>
        </w:rPr>
        <w:lastRenderedPageBreak/>
        <w:drawing>
          <wp:inline distT="0" distB="0" distL="0" distR="0" wp14:anchorId="7A072E95" wp14:editId="0093144D">
            <wp:extent cx="5943600" cy="1273175"/>
            <wp:effectExtent l="0" t="0" r="0" b="3175"/>
            <wp:docPr id="546141152" name="Picture 9" descr="A close-up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141152" name="Picture 9" descr="A close-up of a wall&#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1273175"/>
                    </a:xfrm>
                    <a:prstGeom prst="rect">
                      <a:avLst/>
                    </a:prstGeom>
                  </pic:spPr>
                </pic:pic>
              </a:graphicData>
            </a:graphic>
          </wp:inline>
        </w:drawing>
      </w:r>
    </w:p>
    <w:p w14:paraId="44F9D2A7" w14:textId="77777777" w:rsidR="005D555B" w:rsidRPr="009677DF" w:rsidRDefault="005D555B" w:rsidP="005D555B">
      <w:pPr>
        <w:spacing w:line="257" w:lineRule="auto"/>
        <w:ind w:left="-20" w:right="-20"/>
        <w:rPr>
          <w:rFonts w:cstheme="minorHAnsi"/>
        </w:rPr>
      </w:pPr>
      <w:r w:rsidRPr="009677DF">
        <w:rPr>
          <w:rFonts w:eastAsia="Arial" w:cstheme="minorHAnsi"/>
          <w:b/>
          <w:bCs/>
          <w:color w:val="000000" w:themeColor="text1"/>
        </w:rPr>
        <w:t xml:space="preserve">Figures A1 to A6. </w:t>
      </w:r>
      <w:r w:rsidRPr="009677DF">
        <w:rPr>
          <w:rFonts w:eastAsia="Arial" w:cstheme="minorHAnsi"/>
          <w:color w:val="000000" w:themeColor="text1"/>
        </w:rPr>
        <w:t>Representative samples of SIII_R, SIII_R+GM_II_ACG-Ø and SIII_R+GM_II_ACG-S immediately after cracking (i.e., Day 0) (</w:t>
      </w:r>
      <w:r w:rsidRPr="009677DF">
        <w:rPr>
          <w:rFonts w:eastAsia="Arial" w:cstheme="minorHAnsi"/>
          <w:i/>
          <w:iCs/>
          <w:color w:val="000000" w:themeColor="text1"/>
        </w:rPr>
        <w:t>Left</w:t>
      </w:r>
      <w:r w:rsidRPr="009677DF">
        <w:rPr>
          <w:rFonts w:eastAsia="Arial" w:cstheme="minorHAnsi"/>
          <w:color w:val="000000" w:themeColor="text1"/>
        </w:rPr>
        <w:t>) and after 28 days of being exposed to tap water (</w:t>
      </w:r>
      <w:r w:rsidRPr="009677DF">
        <w:rPr>
          <w:rFonts w:eastAsia="Arial" w:cstheme="minorHAnsi"/>
          <w:i/>
          <w:iCs/>
          <w:color w:val="000000" w:themeColor="text1"/>
        </w:rPr>
        <w:t>Right</w:t>
      </w:r>
      <w:r w:rsidRPr="009677DF">
        <w:rPr>
          <w:rFonts w:eastAsia="Arial" w:cstheme="minorHAnsi"/>
          <w:color w:val="000000" w:themeColor="text1"/>
        </w:rPr>
        <w:t>).</w:t>
      </w:r>
    </w:p>
    <w:p w14:paraId="3F131D05" w14:textId="77777777" w:rsidR="005D555B" w:rsidRPr="00BC52CC" w:rsidRDefault="005D555B" w:rsidP="005D555B">
      <w:pPr>
        <w:spacing w:line="257" w:lineRule="auto"/>
        <w:ind w:left="-20" w:right="-20"/>
        <w:jc w:val="both"/>
        <w:rPr>
          <w:rFonts w:eastAsia="Arial" w:cstheme="minorHAnsi"/>
          <w:color w:val="000000" w:themeColor="text1"/>
          <w:sz w:val="20"/>
          <w:szCs w:val="20"/>
        </w:rPr>
      </w:pPr>
    </w:p>
    <w:p w14:paraId="5B4D262D" w14:textId="1B245CEB" w:rsidR="005D555B" w:rsidRPr="00BC52CC" w:rsidRDefault="005D555B" w:rsidP="005D555B">
      <w:pPr>
        <w:spacing w:line="257" w:lineRule="auto"/>
        <w:ind w:left="-20" w:right="-20"/>
        <w:jc w:val="both"/>
        <w:rPr>
          <w:rFonts w:cstheme="minorHAnsi"/>
        </w:rPr>
      </w:pPr>
      <w:r w:rsidRPr="00BC52CC">
        <w:rPr>
          <w:rFonts w:eastAsia="Arial" w:cstheme="minorHAnsi"/>
          <w:color w:val="000000" w:themeColor="text1"/>
          <w:sz w:val="24"/>
          <w:szCs w:val="24"/>
        </w:rPr>
        <w:t xml:space="preserve">Crack width reduction was quantified on all mortar prisms at two designated locations marked with a permanent blue pen (with two measurements per location), thereby evaluating their self-healing efficacy when exposed to clean tap water during the healing process. In </w:t>
      </w:r>
      <w:r w:rsidRPr="00BC52CC">
        <w:rPr>
          <w:rFonts w:eastAsia="Arial" w:cstheme="minorHAnsi"/>
          <w:b/>
          <w:bCs/>
          <w:color w:val="000000" w:themeColor="text1"/>
          <w:sz w:val="24"/>
          <w:szCs w:val="24"/>
        </w:rPr>
        <w:t>Fig. A7</w:t>
      </w:r>
      <w:r w:rsidRPr="00BC52CC">
        <w:rPr>
          <w:rFonts w:eastAsia="Arial" w:cstheme="minorHAnsi"/>
          <w:color w:val="000000" w:themeColor="text1"/>
          <w:sz w:val="24"/>
          <w:szCs w:val="24"/>
        </w:rPr>
        <w:t xml:space="preserve">, the crack-width healing percentage (CAH%) results for the mortar prisms of Set III when exposed to clean tap water are presented. Consistent healing was not observed for mortar prisms composed solely of plain mortar mix (SIII_R). In contrast, mortar mixes containing GM, with or without encapsulated bacterial spores (SIII_R+GM_II_ACG-S and SIII_R+GM_II_ACG-Ø, respectively), exhibited consistently high healing values. Since the mortar prisms were not maintained under sterile conditions, mirroring real-world scenarios more accurately, the observed healing efficiency for mortar prisms not containing encapsulated bacteria likely originated from the presence of environmental bacteria. These bacteria could have utilised the purposely embedded nutrients and calcium precursors within the mortar matrix  </w:t>
      </w:r>
      <w:r w:rsidRPr="00BC52CC">
        <w:rPr>
          <w:rFonts w:eastAsia="Arial" w:cstheme="minorHAnsi"/>
          <w:color w:val="000000" w:themeColor="text1"/>
          <w:sz w:val="24"/>
          <w:szCs w:val="24"/>
        </w:rPr>
        <w:fldChar w:fldCharType="begin"/>
      </w:r>
      <w:r>
        <w:rPr>
          <w:rFonts w:eastAsia="Arial" w:cstheme="minorHAnsi"/>
          <w:color w:val="000000" w:themeColor="text1"/>
          <w:sz w:val="24"/>
          <w:szCs w:val="24"/>
        </w:rPr>
        <w:instrText xml:space="preserve"> ADDIN EN.CITE &lt;EndNote&gt;&lt;Cite&gt;&lt;Author&gt;Justo-Reinoso&lt;/Author&gt;&lt;Year&gt;2022&lt;/Year&gt;&lt;RecNum&gt;9&lt;/RecNum&gt;&lt;DisplayText&gt;[2]&lt;/DisplayText&gt;&lt;record&gt;&lt;rec-number&gt;9&lt;/rec-number&gt;&lt;foreign-keys&gt;&lt;key app="EN" db-id="sxtr2ept8spssze2pwevtxpjwzv2ve229aap" timestamp="1732196092"&gt;9&lt;/key&gt;&lt;/foreign-keys&gt;&lt;ref-type name="Journal Article"&gt;17&lt;/ref-type&gt;&lt;contributors&gt;&lt;authors&gt;&lt;author&gt;Justo-Reinoso, Ismael&lt;/author&gt;&lt;author&gt;Reeksting, Bianca J&lt;/author&gt;&lt;author&gt;Heath, Andrew&lt;/author&gt;&lt;author&gt;Gebhard, Susanne&lt;/author&gt;&lt;author&gt;Paine, Kevin&lt;/author&gt;&lt;/authors&gt;&lt;/contributors&gt;&lt;titles&gt;&lt;title&gt;Evaluation of cyclic healing potential of bacteria-based self-healing cementitious composites&lt;/title&gt;&lt;secondary-title&gt;Sustainability&lt;/secondary-title&gt;&lt;/titles&gt;&lt;periodical&gt;&lt;full-title&gt;Sustainability&lt;/full-title&gt;&lt;/periodical&gt;&lt;pages&gt;6845&lt;/pages&gt;&lt;volume&gt;14&lt;/volume&gt;&lt;number&gt;11&lt;/number&gt;&lt;dates&gt;&lt;year&gt;2022&lt;/year&gt;&lt;/dates&gt;&lt;isbn&gt;2071-1050&lt;/isbn&gt;&lt;urls&gt;&lt;/urls&gt;&lt;/record&gt;&lt;/Cite&gt;&lt;/EndNote&gt;</w:instrText>
      </w:r>
      <w:r w:rsidRPr="00BC52CC">
        <w:rPr>
          <w:rFonts w:eastAsia="Arial" w:cstheme="minorHAnsi"/>
          <w:color w:val="000000" w:themeColor="text1"/>
          <w:sz w:val="24"/>
          <w:szCs w:val="24"/>
        </w:rPr>
        <w:fldChar w:fldCharType="separate"/>
      </w:r>
      <w:r>
        <w:rPr>
          <w:rFonts w:eastAsia="Arial" w:cstheme="minorHAnsi"/>
          <w:noProof/>
          <w:color w:val="000000" w:themeColor="text1"/>
          <w:sz w:val="24"/>
          <w:szCs w:val="24"/>
        </w:rPr>
        <w:t>[2]</w:t>
      </w:r>
      <w:r w:rsidRPr="00BC52CC">
        <w:rPr>
          <w:rFonts w:eastAsia="Arial" w:cstheme="minorHAnsi"/>
          <w:color w:val="000000" w:themeColor="text1"/>
          <w:sz w:val="24"/>
          <w:szCs w:val="24"/>
        </w:rPr>
        <w:fldChar w:fldCharType="end"/>
      </w:r>
      <w:r w:rsidRPr="00BC52CC">
        <w:rPr>
          <w:rFonts w:eastAsia="Arial" w:cstheme="minorHAnsi"/>
          <w:color w:val="000000" w:themeColor="text1"/>
          <w:sz w:val="24"/>
          <w:szCs w:val="24"/>
        </w:rPr>
        <w:t xml:space="preserve">. </w:t>
      </w:r>
    </w:p>
    <w:p w14:paraId="39BE72A0" w14:textId="77777777" w:rsidR="005D555B" w:rsidRPr="00BC52CC" w:rsidRDefault="005D555B" w:rsidP="005D555B">
      <w:pPr>
        <w:spacing w:line="257" w:lineRule="auto"/>
        <w:ind w:left="-20" w:right="-20"/>
        <w:rPr>
          <w:rFonts w:cstheme="minorHAnsi"/>
        </w:rPr>
      </w:pPr>
      <w:r w:rsidRPr="00BC52CC">
        <w:rPr>
          <w:rFonts w:cstheme="minorHAnsi"/>
          <w:noProof/>
        </w:rPr>
        <w:drawing>
          <wp:inline distT="0" distB="0" distL="0" distR="0" wp14:anchorId="257E7F5A" wp14:editId="00E86E13">
            <wp:extent cx="5911702" cy="2647950"/>
            <wp:effectExtent l="0" t="0" r="0" b="0"/>
            <wp:docPr id="987217548" name="Picture 987217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911702" cy="2647950"/>
                    </a:xfrm>
                    <a:prstGeom prst="rect">
                      <a:avLst/>
                    </a:prstGeom>
                  </pic:spPr>
                </pic:pic>
              </a:graphicData>
            </a:graphic>
          </wp:inline>
        </w:drawing>
      </w:r>
    </w:p>
    <w:p w14:paraId="5A403BA4" w14:textId="77777777" w:rsidR="005D555B" w:rsidRPr="009677DF" w:rsidRDefault="005D555B" w:rsidP="005D555B">
      <w:pPr>
        <w:spacing w:line="257" w:lineRule="auto"/>
        <w:ind w:left="-20" w:right="-20"/>
        <w:jc w:val="both"/>
        <w:rPr>
          <w:rFonts w:cstheme="minorHAnsi"/>
        </w:rPr>
      </w:pPr>
      <w:r w:rsidRPr="009677DF">
        <w:rPr>
          <w:rFonts w:eastAsia="Arial" w:cstheme="minorHAnsi"/>
          <w:b/>
          <w:bCs/>
          <w:color w:val="000000" w:themeColor="text1"/>
        </w:rPr>
        <w:t>Figure A7</w:t>
      </w:r>
      <w:r w:rsidRPr="009677DF">
        <w:rPr>
          <w:rFonts w:eastAsia="Arial" w:cstheme="minorHAnsi"/>
          <w:color w:val="000000" w:themeColor="text1"/>
        </w:rPr>
        <w:t>. Crack-width healing percentage for Set III mortar specimens after 28 days of healing. Bars represent the % of healing obtained relative to the reduction in crack width of individual mortar prisms exposed during the healing process to clean tap water. The dotted box highlights the mortar prisms containing encapsulated bacterial spores. Horizontal bars indicate the average values for each triplet of mortar prisms.</w:t>
      </w:r>
    </w:p>
    <w:p w14:paraId="6D3CE269" w14:textId="77777777" w:rsidR="005D555B" w:rsidRPr="00BC52CC" w:rsidRDefault="005D555B" w:rsidP="005D555B">
      <w:pPr>
        <w:rPr>
          <w:rFonts w:eastAsiaTheme="minorEastAsia" w:cstheme="minorHAnsi"/>
          <w:b/>
          <w:bCs/>
          <w:sz w:val="28"/>
          <w:szCs w:val="28"/>
        </w:rPr>
      </w:pPr>
    </w:p>
    <w:p w14:paraId="53C6BC32" w14:textId="77777777" w:rsidR="005D555B" w:rsidRPr="00BC52CC" w:rsidRDefault="005D555B" w:rsidP="005D555B">
      <w:pPr>
        <w:rPr>
          <w:rFonts w:eastAsiaTheme="minorEastAsia" w:cstheme="minorHAnsi"/>
          <w:b/>
          <w:bCs/>
          <w:sz w:val="28"/>
          <w:szCs w:val="28"/>
        </w:rPr>
      </w:pPr>
      <w:r w:rsidRPr="00BC52CC">
        <w:rPr>
          <w:rFonts w:cstheme="minorHAnsi"/>
          <w:noProof/>
        </w:rPr>
        <w:drawing>
          <wp:inline distT="0" distB="0" distL="0" distR="0" wp14:anchorId="6FD38DBA" wp14:editId="21F11152">
            <wp:extent cx="5943600" cy="2942590"/>
            <wp:effectExtent l="0" t="0" r="0" b="0"/>
            <wp:docPr id="785016954" name="Chart 1">
              <a:extLst xmlns:a="http://schemas.openxmlformats.org/drawingml/2006/main">
                <a:ext uri="{FF2B5EF4-FFF2-40B4-BE49-F238E27FC236}">
                  <a16:creationId xmlns:a16="http://schemas.microsoft.com/office/drawing/2014/main" id="{0D12AAE6-B906-4BD4-89E2-563E0825A8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A2EB34B" w14:textId="77777777" w:rsidR="005D555B" w:rsidRPr="0057280F" w:rsidRDefault="005D555B" w:rsidP="005D555B">
      <w:pPr>
        <w:rPr>
          <w:rFonts w:eastAsia="Calibri" w:cstheme="minorHAnsi"/>
          <w:sz w:val="32"/>
          <w:szCs w:val="32"/>
        </w:rPr>
      </w:pPr>
      <w:r w:rsidRPr="0057280F">
        <w:rPr>
          <w:rFonts w:eastAsia="Arial" w:cstheme="minorHAnsi"/>
          <w:b/>
          <w:bCs/>
          <w:color w:val="000000" w:themeColor="text1"/>
        </w:rPr>
        <w:t>Figure A8.</w:t>
      </w:r>
      <w:r w:rsidRPr="0057280F">
        <w:rPr>
          <w:rFonts w:eastAsia="Arial" w:cstheme="minorHAnsi"/>
          <w:color w:val="000000" w:themeColor="text1"/>
        </w:rPr>
        <w:t xml:space="preserve"> Compressive strength of </w:t>
      </w:r>
      <w:proofErr w:type="spellStart"/>
      <w:r w:rsidRPr="0057280F">
        <w:rPr>
          <w:rFonts w:eastAsia="Arial" w:cstheme="minorHAnsi"/>
          <w:color w:val="000000" w:themeColor="text1"/>
        </w:rPr>
        <w:t>Conc_R</w:t>
      </w:r>
      <w:proofErr w:type="spellEnd"/>
      <w:r w:rsidRPr="0057280F">
        <w:rPr>
          <w:rFonts w:eastAsia="Arial" w:cstheme="minorHAnsi"/>
          <w:color w:val="000000" w:themeColor="text1"/>
        </w:rPr>
        <w:t xml:space="preserve"> (plain concrete) and </w:t>
      </w:r>
      <w:proofErr w:type="spellStart"/>
      <w:r w:rsidRPr="0057280F">
        <w:rPr>
          <w:rFonts w:eastAsia="Arial" w:cstheme="minorHAnsi"/>
          <w:color w:val="000000" w:themeColor="text1"/>
        </w:rPr>
        <w:t>Conc_R+GM_II_ACG-Ø</w:t>
      </w:r>
      <w:proofErr w:type="spellEnd"/>
      <w:r w:rsidRPr="0057280F">
        <w:rPr>
          <w:rFonts w:eastAsia="Arial" w:cstheme="minorHAnsi"/>
          <w:color w:val="000000" w:themeColor="text1"/>
        </w:rPr>
        <w:t xml:space="preserve"> concrete mixes after 28 days of curing submerged in tap water. Concrete cylinders (50 mm x 100 mm) values shown in the graph were corrected with a 11.5% reduction factor to account for the difference in size with standard concrete cylinders (150 mm x 300 mm). Horizontal bars show the average values of each triplet of concrete cylinders. </w:t>
      </w:r>
    </w:p>
    <w:p w14:paraId="3CA0F1A7" w14:textId="77777777" w:rsidR="005D555B" w:rsidRPr="00BC52CC" w:rsidRDefault="005D555B" w:rsidP="005D555B">
      <w:pPr>
        <w:rPr>
          <w:rFonts w:eastAsiaTheme="minorEastAsia" w:cstheme="minorHAnsi"/>
          <w:b/>
          <w:bCs/>
          <w:sz w:val="28"/>
          <w:szCs w:val="28"/>
        </w:rPr>
      </w:pPr>
    </w:p>
    <w:p w14:paraId="0563705C" w14:textId="77777777" w:rsidR="005D555B" w:rsidRPr="00BC52CC" w:rsidRDefault="005D555B" w:rsidP="005D555B">
      <w:pPr>
        <w:rPr>
          <w:rFonts w:cstheme="minorHAnsi"/>
        </w:rPr>
      </w:pPr>
      <w:r w:rsidRPr="00BC52CC">
        <w:rPr>
          <w:rFonts w:cstheme="minorHAnsi"/>
          <w:noProof/>
        </w:rPr>
        <w:drawing>
          <wp:inline distT="0" distB="0" distL="0" distR="0" wp14:anchorId="38323E0C" wp14:editId="7A83223B">
            <wp:extent cx="1585097" cy="1737510"/>
            <wp:effectExtent l="0" t="0" r="0" b="0"/>
            <wp:docPr id="326115605" name="Picture 326115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585097" cy="1737510"/>
                    </a:xfrm>
                    <a:prstGeom prst="rect">
                      <a:avLst/>
                    </a:prstGeom>
                  </pic:spPr>
                </pic:pic>
              </a:graphicData>
            </a:graphic>
          </wp:inline>
        </w:drawing>
      </w:r>
      <w:r w:rsidRPr="00BC52CC">
        <w:rPr>
          <w:rFonts w:cstheme="minorHAnsi"/>
        </w:rPr>
        <w:t xml:space="preserve"> </w:t>
      </w:r>
      <w:r w:rsidRPr="00BC52CC">
        <w:rPr>
          <w:rFonts w:cstheme="minorHAnsi"/>
          <w:noProof/>
        </w:rPr>
        <w:drawing>
          <wp:inline distT="0" distB="0" distL="0" distR="0" wp14:anchorId="13C52367" wp14:editId="0CEBE489">
            <wp:extent cx="4230990" cy="1737510"/>
            <wp:effectExtent l="0" t="0" r="0" b="0"/>
            <wp:docPr id="1411142547" name="Picture 141114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230990" cy="1737510"/>
                    </a:xfrm>
                    <a:prstGeom prst="rect">
                      <a:avLst/>
                    </a:prstGeom>
                  </pic:spPr>
                </pic:pic>
              </a:graphicData>
            </a:graphic>
          </wp:inline>
        </w:drawing>
      </w:r>
    </w:p>
    <w:p w14:paraId="52DA20FC" w14:textId="77777777" w:rsidR="005D555B" w:rsidRPr="00BC52CC" w:rsidRDefault="005D555B" w:rsidP="005D555B">
      <w:pPr>
        <w:spacing w:line="257" w:lineRule="auto"/>
        <w:ind w:left="-20" w:right="-20"/>
        <w:rPr>
          <w:rFonts w:cstheme="minorHAnsi"/>
        </w:rPr>
      </w:pPr>
      <w:r w:rsidRPr="00BC52CC">
        <w:rPr>
          <w:rFonts w:eastAsia="Arial" w:cstheme="minorHAnsi"/>
          <w:b/>
          <w:bCs/>
          <w:color w:val="000000" w:themeColor="text1"/>
          <w:sz w:val="20"/>
          <w:szCs w:val="20"/>
        </w:rPr>
        <w:t xml:space="preserve">Figure A9. </w:t>
      </w:r>
      <w:r w:rsidRPr="00BC52CC">
        <w:rPr>
          <w:rFonts w:eastAsia="Arial" w:cstheme="minorHAnsi"/>
          <w:color w:val="000000" w:themeColor="text1"/>
          <w:sz w:val="20"/>
          <w:szCs w:val="20"/>
        </w:rPr>
        <w:t xml:space="preserve">Images of representative cylinders of </w:t>
      </w:r>
      <w:proofErr w:type="spellStart"/>
      <w:r w:rsidRPr="00BC52CC">
        <w:rPr>
          <w:rFonts w:eastAsia="Arial" w:cstheme="minorHAnsi"/>
          <w:color w:val="000000" w:themeColor="text1"/>
          <w:sz w:val="20"/>
          <w:szCs w:val="20"/>
        </w:rPr>
        <w:t>Conc_R</w:t>
      </w:r>
      <w:proofErr w:type="spellEnd"/>
      <w:r w:rsidRPr="00BC52CC">
        <w:rPr>
          <w:rFonts w:eastAsia="Arial" w:cstheme="minorHAnsi"/>
          <w:color w:val="000000" w:themeColor="text1"/>
          <w:sz w:val="20"/>
          <w:szCs w:val="20"/>
        </w:rPr>
        <w:t xml:space="preserve"> and </w:t>
      </w:r>
      <w:proofErr w:type="spellStart"/>
      <w:r w:rsidRPr="00BC52CC">
        <w:rPr>
          <w:rFonts w:eastAsia="Arial" w:cstheme="minorHAnsi"/>
          <w:color w:val="000000" w:themeColor="text1"/>
          <w:sz w:val="20"/>
          <w:szCs w:val="20"/>
        </w:rPr>
        <w:t>Conc_R+GM_II_ACG-Ø</w:t>
      </w:r>
      <w:proofErr w:type="spellEnd"/>
      <w:r w:rsidRPr="00BC52CC">
        <w:rPr>
          <w:rFonts w:eastAsia="Arial" w:cstheme="minorHAnsi"/>
          <w:color w:val="000000" w:themeColor="text1"/>
          <w:sz w:val="20"/>
          <w:szCs w:val="20"/>
        </w:rPr>
        <w:t xml:space="preserve"> concrete mixes after executing the compressive strength test.</w:t>
      </w:r>
    </w:p>
    <w:p w14:paraId="153039CB" w14:textId="77777777" w:rsidR="005D555B" w:rsidRPr="00BC52CC" w:rsidRDefault="005D555B" w:rsidP="005D555B">
      <w:pPr>
        <w:rPr>
          <w:rFonts w:cstheme="minorHAnsi"/>
        </w:rPr>
      </w:pPr>
    </w:p>
    <w:p w14:paraId="7625D6D7" w14:textId="77777777" w:rsidR="005D555B" w:rsidRPr="00BC52CC" w:rsidRDefault="005D555B" w:rsidP="005D555B">
      <w:pPr>
        <w:spacing w:after="200" w:line="276" w:lineRule="auto"/>
        <w:jc w:val="both"/>
        <w:rPr>
          <w:rFonts w:eastAsia="Calibri" w:cstheme="minorHAnsi"/>
          <w:color w:val="000000" w:themeColor="text1"/>
          <w:sz w:val="20"/>
          <w:szCs w:val="20"/>
        </w:rPr>
      </w:pPr>
      <w:r w:rsidRPr="00BC52CC">
        <w:rPr>
          <w:rFonts w:cstheme="minorHAnsi"/>
          <w:noProof/>
        </w:rPr>
        <mc:AlternateContent>
          <mc:Choice Requires="wpg">
            <w:drawing>
              <wp:anchor distT="0" distB="0" distL="114300" distR="114300" simplePos="0" relativeHeight="251659264" behindDoc="0" locked="0" layoutInCell="1" allowOverlap="1" wp14:anchorId="50AB2580" wp14:editId="50CA6F26">
                <wp:simplePos x="0" y="0"/>
                <wp:positionH relativeFrom="column">
                  <wp:posOffset>99004</wp:posOffset>
                </wp:positionH>
                <wp:positionV relativeFrom="paragraph">
                  <wp:posOffset>60941</wp:posOffset>
                </wp:positionV>
                <wp:extent cx="473281" cy="2351577"/>
                <wp:effectExtent l="0" t="0" r="0" b="0"/>
                <wp:wrapNone/>
                <wp:docPr id="235504630" name="Group 3"/>
                <wp:cNvGraphicFramePr/>
                <a:graphic xmlns:a="http://schemas.openxmlformats.org/drawingml/2006/main">
                  <a:graphicData uri="http://schemas.microsoft.com/office/word/2010/wordprocessingGroup">
                    <wpg:wgp>
                      <wpg:cNvGrpSpPr/>
                      <wpg:grpSpPr>
                        <a:xfrm>
                          <a:off x="0" y="0"/>
                          <a:ext cx="473281" cy="2351577"/>
                          <a:chOff x="0" y="0"/>
                          <a:chExt cx="473281" cy="2351577"/>
                        </a:xfrm>
                      </wpg:grpSpPr>
                      <wps:wsp>
                        <wps:cNvPr id="406396903" name="TextBox 15"/>
                        <wps:cNvSpPr txBox="1"/>
                        <wps:spPr>
                          <a:xfrm>
                            <a:off x="75136" y="0"/>
                            <a:ext cx="398145" cy="360045"/>
                          </a:xfrm>
                          <a:prstGeom prst="rect">
                            <a:avLst/>
                          </a:prstGeom>
                          <a:noFill/>
                        </wps:spPr>
                        <wps:txbx>
                          <w:txbxContent>
                            <w:p w14:paraId="32EC0A11" w14:textId="77777777" w:rsidR="005D555B" w:rsidRDefault="005D555B" w:rsidP="005D555B">
                              <w:pPr>
                                <w:rPr>
                                  <w:rFonts w:hAnsi="Calibri"/>
                                  <w:b/>
                                  <w:bCs/>
                                  <w:color w:val="000000" w:themeColor="text1"/>
                                  <w:kern w:val="24"/>
                                  <w:sz w:val="20"/>
                                  <w:szCs w:val="20"/>
                                </w:rPr>
                              </w:pPr>
                              <w:r>
                                <w:rPr>
                                  <w:rFonts w:hAnsi="Calibri"/>
                                  <w:b/>
                                  <w:bCs/>
                                  <w:color w:val="000000" w:themeColor="text1"/>
                                  <w:kern w:val="24"/>
                                  <w:sz w:val="20"/>
                                  <w:szCs w:val="20"/>
                                </w:rPr>
                                <w:t>(a)</w:t>
                              </w:r>
                            </w:p>
                          </w:txbxContent>
                        </wps:txbx>
                        <wps:bodyPr wrap="square" rtlCol="0">
                          <a:spAutoFit/>
                        </wps:bodyPr>
                      </wps:wsp>
                      <wps:wsp>
                        <wps:cNvPr id="1560785518" name="TextBox 15"/>
                        <wps:cNvSpPr txBox="1"/>
                        <wps:spPr>
                          <a:xfrm>
                            <a:off x="0" y="1991532"/>
                            <a:ext cx="398145" cy="360045"/>
                          </a:xfrm>
                          <a:prstGeom prst="rect">
                            <a:avLst/>
                          </a:prstGeom>
                          <a:noFill/>
                        </wps:spPr>
                        <wps:txbx>
                          <w:txbxContent>
                            <w:p w14:paraId="69C7DDEE" w14:textId="77777777" w:rsidR="005D555B" w:rsidRDefault="005D555B" w:rsidP="005D555B">
                              <w:pPr>
                                <w:rPr>
                                  <w:rFonts w:hAnsi="Calibri"/>
                                  <w:b/>
                                  <w:bCs/>
                                  <w:color w:val="000000" w:themeColor="text1"/>
                                  <w:kern w:val="24"/>
                                  <w:sz w:val="20"/>
                                  <w:szCs w:val="20"/>
                                </w:rPr>
                              </w:pPr>
                              <w:r>
                                <w:rPr>
                                  <w:rFonts w:hAnsi="Calibri"/>
                                  <w:b/>
                                  <w:bCs/>
                                  <w:color w:val="000000" w:themeColor="text1"/>
                                  <w:kern w:val="24"/>
                                  <w:sz w:val="20"/>
                                  <w:szCs w:val="20"/>
                                </w:rPr>
                                <w:t>(b)</w:t>
                              </w:r>
                            </w:p>
                          </w:txbxContent>
                        </wps:txbx>
                        <wps:bodyPr wrap="square" rtlCol="0">
                          <a:spAutoFit/>
                        </wps:bodyPr>
                      </wps:wsp>
                    </wpg:wgp>
                  </a:graphicData>
                </a:graphic>
              </wp:anchor>
            </w:drawing>
          </mc:Choice>
          <mc:Fallback>
            <w:pict>
              <v:group w14:anchorId="50AB2580" id="Group 3" o:spid="_x0000_s1026" style="position:absolute;left:0;text-align:left;margin-left:7.8pt;margin-top:4.8pt;width:37.25pt;height:185.15pt;z-index:251659264" coordsize="4732,2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">
                <v:shapetype id="_x0000_t202" coordsize="21600,21600" o:spt="202" path="m,l,21600r21600,l21600,xe">
                  <v:stroke joinstyle="miter"/>
                  <v:path gradientshapeok="t" o:connecttype="rect"/>
                </v:shapetype>
                <v:shape id="TextBox 15" o:spid="_x0000_s1027" type="#_x0000_t202" style="position:absolute;left:751;width:3981;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" filled="f" stroked="f">
                  <v:textbox style="mso-fit-shape-to-text:t">
                    <w:txbxContent>
                      <w:p w14:paraId="32EC0A11" w14:textId="77777777" w:rsidR="005D555B" w:rsidRDefault="005D555B" w:rsidP="005D555B">
                        <w:pPr>
                          <w:rPr>
                            <w:rFonts w:hAnsi="Calibri"/>
                            <w:b/>
                            <w:bCs/>
                            <w:color w:val="000000" w:themeColor="text1"/>
                            <w:kern w:val="24"/>
                            <w:sz w:val="20"/>
                            <w:szCs w:val="20"/>
                          </w:rPr>
                        </w:pPr>
                        <w:r>
                          <w:rPr>
                            <w:rFonts w:hAnsi="Calibri"/>
                            <w:b/>
                            <w:bCs/>
                            <w:color w:val="000000" w:themeColor="text1"/>
                            <w:kern w:val="24"/>
                            <w:sz w:val="20"/>
                            <w:szCs w:val="20"/>
                          </w:rPr>
                          <w:t>(a)</w:t>
                        </w:r>
                      </w:p>
                    </w:txbxContent>
                  </v:textbox>
                </v:shape>
                <v:shape id="TextBox 15" o:spid="_x0000_s1028" type="#_x0000_t202" style="position:absolute;top:19915;width:3981;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" filled="f" stroked="f">
                  <v:textbox style="mso-fit-shape-to-text:t">
                    <w:txbxContent>
                      <w:p w14:paraId="69C7DDEE" w14:textId="77777777" w:rsidR="005D555B" w:rsidRDefault="005D555B" w:rsidP="005D555B">
                        <w:pPr>
                          <w:rPr>
                            <w:rFonts w:hAnsi="Calibri"/>
                            <w:b/>
                            <w:bCs/>
                            <w:color w:val="000000" w:themeColor="text1"/>
                            <w:kern w:val="24"/>
                            <w:sz w:val="20"/>
                            <w:szCs w:val="20"/>
                          </w:rPr>
                        </w:pPr>
                        <w:r>
                          <w:rPr>
                            <w:rFonts w:hAnsi="Calibri"/>
                            <w:b/>
                            <w:bCs/>
                            <w:color w:val="000000" w:themeColor="text1"/>
                            <w:kern w:val="24"/>
                            <w:sz w:val="20"/>
                            <w:szCs w:val="20"/>
                          </w:rPr>
                          <w:t>(b)</w:t>
                        </w:r>
                      </w:p>
                    </w:txbxContent>
                  </v:textbox>
                </v:shape>
              </v:group>
            </w:pict>
          </mc:Fallback>
        </mc:AlternateContent>
      </w:r>
      <w:r w:rsidRPr="00BC52CC">
        <w:rPr>
          <w:rFonts w:cstheme="minorHAnsi"/>
        </w:rPr>
        <w:t xml:space="preserve"> </w:t>
      </w:r>
      <w:r w:rsidRPr="00BC52CC">
        <w:rPr>
          <w:rFonts w:cstheme="minorHAnsi"/>
          <w:noProof/>
          <w:sz w:val="16"/>
          <w:szCs w:val="16"/>
        </w:rPr>
        <w:t xml:space="preserve"> </w:t>
      </w:r>
      <w:r w:rsidRPr="00BC52CC">
        <w:rPr>
          <w:rFonts w:eastAsia="Calibri" w:cstheme="minorHAnsi"/>
          <w:noProof/>
          <w:color w:val="000000" w:themeColor="text1"/>
          <w:sz w:val="20"/>
          <w:szCs w:val="20"/>
        </w:rPr>
        <w:drawing>
          <wp:inline distT="0" distB="0" distL="0" distR="0" wp14:anchorId="0116E1DF" wp14:editId="65E3CC0D">
            <wp:extent cx="5943600" cy="3583940"/>
            <wp:effectExtent l="0" t="0" r="0" b="0"/>
            <wp:docPr id="14107273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727316" name="Picture 1" descr="A screenshot of a comput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583940"/>
                    </a:xfrm>
                    <a:prstGeom prst="rect">
                      <a:avLst/>
                    </a:prstGeom>
                  </pic:spPr>
                </pic:pic>
              </a:graphicData>
            </a:graphic>
          </wp:inline>
        </w:drawing>
      </w:r>
    </w:p>
    <w:p w14:paraId="24AFFBDB" w14:textId="77777777" w:rsidR="005D555B" w:rsidRPr="00BC52CC" w:rsidRDefault="005D555B" w:rsidP="005D555B">
      <w:pPr>
        <w:spacing w:after="200" w:line="240" w:lineRule="auto"/>
        <w:rPr>
          <w:rFonts w:eastAsia="Calibri" w:cstheme="minorHAnsi"/>
          <w:sz w:val="24"/>
          <w:szCs w:val="24"/>
        </w:rPr>
      </w:pPr>
      <w:r w:rsidRPr="00BC52CC">
        <w:rPr>
          <w:rFonts w:eastAsia="Calibri" w:cstheme="minorHAnsi"/>
          <w:b/>
          <w:bCs/>
          <w:sz w:val="24"/>
          <w:szCs w:val="24"/>
        </w:rPr>
        <w:t>Figure A10</w:t>
      </w:r>
      <w:r w:rsidRPr="00BC52CC">
        <w:rPr>
          <w:rFonts w:eastAsia="Calibri" w:cstheme="minorHAnsi"/>
          <w:sz w:val="24"/>
          <w:szCs w:val="24"/>
        </w:rPr>
        <w:t xml:space="preserve">. P-wave and S-wave velocities traversing the upper and lower parts of the induced crack in each of the concrete samples. (a) Propagation velocities shown for the upper and lower part of the samples. (b) velocities differences between the upper and lower part of the samples. </w:t>
      </w:r>
    </w:p>
    <w:p w14:paraId="65DA7CB5" w14:textId="77777777" w:rsidR="005D555B" w:rsidRDefault="005D555B"/>
    <w:p w14:paraId="32FE1B26" w14:textId="77777777" w:rsidR="005D555B" w:rsidRDefault="005D555B"/>
    <w:p w14:paraId="0EF1D892" w14:textId="77777777" w:rsidR="005D555B" w:rsidRPr="005D555B" w:rsidRDefault="005D555B" w:rsidP="005D555B">
      <w:pPr>
        <w:pStyle w:val="EndNoteBibliography"/>
        <w:spacing w:after="0"/>
        <w:ind w:left="720" w:hanging="720"/>
      </w:pPr>
      <w:r>
        <w:fldChar w:fldCharType="begin"/>
      </w:r>
      <w:r>
        <w:instrText xml:space="preserve"> ADDIN EN.REFLIST </w:instrText>
      </w:r>
      <w:r>
        <w:fldChar w:fldCharType="separate"/>
      </w:r>
      <w:r w:rsidRPr="005D555B">
        <w:t>1.</w:t>
      </w:r>
      <w:r w:rsidRPr="005D555B">
        <w:tab/>
        <w:t xml:space="preserve">Bagga, M., et al., </w:t>
      </w:r>
      <w:r w:rsidRPr="005D555B">
        <w:rPr>
          <w:i/>
        </w:rPr>
        <w:t>Assessing the potential application of bacteria-based self-healing cementitious materials for enhancing durability of wastewater treatment infrastructure.</w:t>
      </w:r>
      <w:r w:rsidRPr="005D555B">
        <w:t xml:space="preserve"> Cement and Concrete Composites, 2023. </w:t>
      </w:r>
      <w:r w:rsidRPr="005D555B">
        <w:rPr>
          <w:b/>
        </w:rPr>
        <w:t>143</w:t>
      </w:r>
      <w:r w:rsidRPr="005D555B">
        <w:t>: p. 105259.</w:t>
      </w:r>
    </w:p>
    <w:p w14:paraId="2E60E2A9" w14:textId="77777777" w:rsidR="005D555B" w:rsidRPr="005D555B" w:rsidRDefault="005D555B" w:rsidP="005D555B">
      <w:pPr>
        <w:pStyle w:val="EndNoteBibliography"/>
        <w:ind w:left="720" w:hanging="720"/>
      </w:pPr>
      <w:r w:rsidRPr="005D555B">
        <w:t>2.</w:t>
      </w:r>
      <w:r w:rsidRPr="005D555B">
        <w:tab/>
        <w:t xml:space="preserve">Justo-Reinoso, I., et al., </w:t>
      </w:r>
      <w:r w:rsidRPr="005D555B">
        <w:rPr>
          <w:i/>
        </w:rPr>
        <w:t>Evaluation of cyclic healing potential of bacteria-based self-healing cementitious composites.</w:t>
      </w:r>
      <w:r w:rsidRPr="005D555B">
        <w:t xml:space="preserve"> Sustainability, 2022. </w:t>
      </w:r>
      <w:r w:rsidRPr="005D555B">
        <w:rPr>
          <w:b/>
        </w:rPr>
        <w:t>14</w:t>
      </w:r>
      <w:r w:rsidRPr="005D555B">
        <w:t>(11): p. 6845.</w:t>
      </w:r>
    </w:p>
    <w:p w14:paraId="5D3B2058" w14:textId="0793062F" w:rsidR="001D52C9" w:rsidRDefault="005D555B">
      <w:r>
        <w:fldChar w:fldCharType="end"/>
      </w:r>
    </w:p>
    <w:sectPr w:rsidR="001D52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umbered&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xtr2ept8spssze2pwevtxpjwzv2ve229aap&quot;&gt;BEWISE IAA EndNote Library&lt;record-ids&gt;&lt;item&gt;5&lt;/item&gt;&lt;item&gt;9&lt;/item&gt;&lt;/record-ids&gt;&lt;/item&gt;&lt;/Libraries&gt;"/>
  </w:docVars>
  <w:rsids>
    <w:rsidRoot w:val="005D555B"/>
    <w:rsid w:val="001D52C9"/>
    <w:rsid w:val="003106F3"/>
    <w:rsid w:val="00575320"/>
    <w:rsid w:val="005D555B"/>
    <w:rsid w:val="005E6087"/>
    <w:rsid w:val="00AC1BA7"/>
    <w:rsid w:val="00BC54C5"/>
    <w:rsid w:val="00C40C44"/>
    <w:rsid w:val="00D94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32D6"/>
  <w15:chartTrackingRefBased/>
  <w15:docId w15:val="{C2407AC2-B772-458A-A369-C3BDB8517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55B"/>
    <w:rPr>
      <w:kern w:val="0"/>
      <w14:ligatures w14:val="none"/>
    </w:rPr>
  </w:style>
  <w:style w:type="paragraph" w:styleId="Heading1">
    <w:name w:val="heading 1"/>
    <w:basedOn w:val="Normal"/>
    <w:next w:val="Normal"/>
    <w:link w:val="Heading1Char"/>
    <w:uiPriority w:val="9"/>
    <w:qFormat/>
    <w:rsid w:val="005D555B"/>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D555B"/>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5D555B"/>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D555B"/>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D555B"/>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D555B"/>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D555B"/>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D555B"/>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D555B"/>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5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55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D55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5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5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5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5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5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55B"/>
    <w:rPr>
      <w:rFonts w:eastAsiaTheme="majorEastAsia" w:cstheme="majorBidi"/>
      <w:color w:val="272727" w:themeColor="text1" w:themeTint="D8"/>
    </w:rPr>
  </w:style>
  <w:style w:type="paragraph" w:styleId="Title">
    <w:name w:val="Title"/>
    <w:basedOn w:val="Normal"/>
    <w:next w:val="Normal"/>
    <w:link w:val="TitleChar"/>
    <w:uiPriority w:val="10"/>
    <w:qFormat/>
    <w:rsid w:val="005D555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D55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55B"/>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D55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55B"/>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D555B"/>
    <w:rPr>
      <w:i/>
      <w:iCs/>
      <w:color w:val="404040" w:themeColor="text1" w:themeTint="BF"/>
    </w:rPr>
  </w:style>
  <w:style w:type="paragraph" w:styleId="ListParagraph">
    <w:name w:val="List Paragraph"/>
    <w:basedOn w:val="Normal"/>
    <w:uiPriority w:val="34"/>
    <w:qFormat/>
    <w:rsid w:val="005D555B"/>
    <w:pPr>
      <w:ind w:left="720"/>
      <w:contextualSpacing/>
    </w:pPr>
    <w:rPr>
      <w:kern w:val="2"/>
      <w14:ligatures w14:val="standardContextual"/>
    </w:rPr>
  </w:style>
  <w:style w:type="character" w:styleId="IntenseEmphasis">
    <w:name w:val="Intense Emphasis"/>
    <w:basedOn w:val="DefaultParagraphFont"/>
    <w:uiPriority w:val="21"/>
    <w:qFormat/>
    <w:rsid w:val="005D555B"/>
    <w:rPr>
      <w:i/>
      <w:iCs/>
      <w:color w:val="0F4761" w:themeColor="accent1" w:themeShade="BF"/>
    </w:rPr>
  </w:style>
  <w:style w:type="paragraph" w:styleId="IntenseQuote">
    <w:name w:val="Intense Quote"/>
    <w:basedOn w:val="Normal"/>
    <w:next w:val="Normal"/>
    <w:link w:val="IntenseQuoteChar"/>
    <w:uiPriority w:val="30"/>
    <w:qFormat/>
    <w:rsid w:val="005D55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D555B"/>
    <w:rPr>
      <w:i/>
      <w:iCs/>
      <w:color w:val="0F4761" w:themeColor="accent1" w:themeShade="BF"/>
    </w:rPr>
  </w:style>
  <w:style w:type="character" w:styleId="IntenseReference">
    <w:name w:val="Intense Reference"/>
    <w:basedOn w:val="DefaultParagraphFont"/>
    <w:uiPriority w:val="32"/>
    <w:qFormat/>
    <w:rsid w:val="005D555B"/>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5D555B"/>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5D555B"/>
    <w:rPr>
      <w:rFonts w:ascii="Aptos" w:hAnsi="Aptos"/>
      <w:noProof/>
      <w:kern w:val="0"/>
      <w:lang w:val="en-US"/>
      <w14:ligatures w14:val="none"/>
    </w:rPr>
  </w:style>
  <w:style w:type="paragraph" w:customStyle="1" w:styleId="EndNoteBibliography">
    <w:name w:val="EndNote Bibliography"/>
    <w:basedOn w:val="Normal"/>
    <w:link w:val="EndNoteBibliographyChar"/>
    <w:rsid w:val="005D555B"/>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5D555B"/>
    <w:rPr>
      <w:rFonts w:ascii="Aptos" w:hAnsi="Aptos"/>
      <w:noProof/>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7.png"/><Relationship Id="rId5" Type="http://schemas.openxmlformats.org/officeDocument/2006/relationships/image" Target="media/image2.tiff"/><Relationship Id="rId10" Type="http://schemas.openxmlformats.org/officeDocument/2006/relationships/image" Target="media/image6.png"/><Relationship Id="rId4" Type="http://schemas.openxmlformats.org/officeDocument/2006/relationships/image" Target="media/image1.tiff"/><Relationship Id="rId9"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file:///D:\1.BATH%20job\1.%20LAB%20WORK\1.%20BeWISE%20project\2.%20NEW%20BEWISE%20project\Concrete%20samples%20BeWISE%202nd\Compressive%20strength%20results%20cylinders%20Bewise%20slag%20concrete%20Oct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chemeClr val="bg2">
                <a:lumMod val="75000"/>
              </a:schemeClr>
            </a:solidFill>
            <a:ln>
              <a:solidFill>
                <a:schemeClr val="tx1"/>
              </a:solidFill>
            </a:ln>
          </c:spPr>
          <c:invertIfNegative val="0"/>
          <c:dPt>
            <c:idx val="0"/>
            <c:invertIfNegative val="0"/>
            <c:bubble3D val="0"/>
            <c:spPr>
              <a:solidFill>
                <a:schemeClr val="tx1"/>
              </a:solidFill>
              <a:ln>
                <a:solidFill>
                  <a:schemeClr val="tx1"/>
                </a:solidFill>
              </a:ln>
            </c:spPr>
            <c:extLst>
              <c:ext xmlns:c16="http://schemas.microsoft.com/office/drawing/2014/chart" uri="{C3380CC4-5D6E-409C-BE32-E72D297353CC}">
                <c16:uniqueId val="{00000001-1F3A-41AE-8462-A9E3BCC7B533}"/>
              </c:ext>
            </c:extLst>
          </c:dPt>
          <c:dPt>
            <c:idx val="1"/>
            <c:invertIfNegative val="0"/>
            <c:bubble3D val="0"/>
            <c:spPr>
              <a:solidFill>
                <a:schemeClr val="tx1"/>
              </a:solidFill>
              <a:ln>
                <a:solidFill>
                  <a:schemeClr val="tx1"/>
                </a:solidFill>
              </a:ln>
            </c:spPr>
            <c:extLst>
              <c:ext xmlns:c16="http://schemas.microsoft.com/office/drawing/2014/chart" uri="{C3380CC4-5D6E-409C-BE32-E72D297353CC}">
                <c16:uniqueId val="{00000003-1F3A-41AE-8462-A9E3BCC7B533}"/>
              </c:ext>
            </c:extLst>
          </c:dPt>
          <c:dPt>
            <c:idx val="2"/>
            <c:invertIfNegative val="0"/>
            <c:bubble3D val="0"/>
            <c:spPr>
              <a:solidFill>
                <a:schemeClr val="tx1"/>
              </a:solidFill>
              <a:ln>
                <a:solidFill>
                  <a:schemeClr val="tx1"/>
                </a:solidFill>
              </a:ln>
            </c:spPr>
            <c:extLst>
              <c:ext xmlns:c16="http://schemas.microsoft.com/office/drawing/2014/chart" uri="{C3380CC4-5D6E-409C-BE32-E72D297353CC}">
                <c16:uniqueId val="{00000005-1F3A-41AE-8462-A9E3BCC7B533}"/>
              </c:ext>
            </c:extLst>
          </c:dPt>
          <c:dPt>
            <c:idx val="4"/>
            <c:invertIfNegative val="0"/>
            <c:bubble3D val="0"/>
            <c:extLst>
              <c:ext xmlns:c16="http://schemas.microsoft.com/office/drawing/2014/chart" uri="{C3380CC4-5D6E-409C-BE32-E72D297353CC}">
                <c16:uniqueId val="{00000006-1F3A-41AE-8462-A9E3BCC7B533}"/>
              </c:ext>
            </c:extLst>
          </c:dPt>
          <c:dPt>
            <c:idx val="5"/>
            <c:invertIfNegative val="0"/>
            <c:bubble3D val="0"/>
            <c:extLst>
              <c:ext xmlns:c16="http://schemas.microsoft.com/office/drawing/2014/chart" uri="{C3380CC4-5D6E-409C-BE32-E72D297353CC}">
                <c16:uniqueId val="{00000007-1F3A-41AE-8462-A9E3BCC7B533}"/>
              </c:ext>
            </c:extLst>
          </c:dPt>
          <c:dPt>
            <c:idx val="6"/>
            <c:invertIfNegative val="0"/>
            <c:bubble3D val="0"/>
            <c:extLst>
              <c:ext xmlns:c16="http://schemas.microsoft.com/office/drawing/2014/chart" uri="{C3380CC4-5D6E-409C-BE32-E72D297353CC}">
                <c16:uniqueId val="{00000008-1F3A-41AE-8462-A9E3BCC7B533}"/>
              </c:ext>
            </c:extLst>
          </c:dPt>
          <c:cat>
            <c:strRef>
              <c:f>'28-days CS'!$A$37:$A$43</c:f>
              <c:strCache>
                <c:ptCount val="6"/>
                <c:pt idx="1">
                  <c:v>Conc_R</c:v>
                </c:pt>
                <c:pt idx="5">
                  <c:v>Conc_R+GM_II_ACG-Ø</c:v>
                </c:pt>
              </c:strCache>
            </c:strRef>
          </c:cat>
          <c:val>
            <c:numRef>
              <c:f>'28-days CS'!$B$37:$B$43</c:f>
              <c:numCache>
                <c:formatCode>0.00</c:formatCode>
                <c:ptCount val="7"/>
                <c:pt idx="0">
                  <c:v>37.49096011534413</c:v>
                </c:pt>
                <c:pt idx="1">
                  <c:v>36.329544983640865</c:v>
                </c:pt>
                <c:pt idx="2">
                  <c:v>40.295268568565255</c:v>
                </c:pt>
                <c:pt idx="4">
                  <c:v>38.354355248113379</c:v>
                </c:pt>
                <c:pt idx="5">
                  <c:v>36.388573740668036</c:v>
                </c:pt>
                <c:pt idx="6">
                  <c:v>36.049003514711131</c:v>
                </c:pt>
              </c:numCache>
            </c:numRef>
          </c:val>
          <c:extLst>
            <c:ext xmlns:c16="http://schemas.microsoft.com/office/drawing/2014/chart" uri="{C3380CC4-5D6E-409C-BE32-E72D297353CC}">
              <c16:uniqueId val="{00000009-1F3A-41AE-8462-A9E3BCC7B533}"/>
            </c:ext>
          </c:extLst>
        </c:ser>
        <c:dLbls>
          <c:showLegendKey val="0"/>
          <c:showVal val="0"/>
          <c:showCatName val="0"/>
          <c:showSerName val="0"/>
          <c:showPercent val="0"/>
          <c:showBubbleSize val="0"/>
        </c:dLbls>
        <c:gapWidth val="150"/>
        <c:axId val="244258543"/>
        <c:axId val="244278511"/>
      </c:barChart>
      <c:scatterChart>
        <c:scatterStyle val="lineMarker"/>
        <c:varyColors val="0"/>
        <c:ser>
          <c:idx val="0"/>
          <c:order val="1"/>
          <c:spPr>
            <a:ln w="19050">
              <a:noFill/>
            </a:ln>
          </c:spPr>
          <c:marker>
            <c:symbol val="dash"/>
            <c:size val="46"/>
            <c:spPr>
              <a:solidFill>
                <a:srgbClr val="FF0000"/>
              </a:solidFill>
              <a:ln w="9525">
                <a:solidFill>
                  <a:schemeClr val="tx1"/>
                </a:solidFill>
              </a:ln>
              <a:effectLst/>
            </c:spPr>
          </c:marker>
          <c:dLbls>
            <c:dLbl>
              <c:idx val="1"/>
              <c:layout>
                <c:manualLayout>
                  <c:x val="-8.7846170670973819E-2"/>
                  <c:y val="-5.7586683839746619E-2"/>
                </c:manualLayout>
              </c:layout>
              <c:spPr>
                <a:noFill/>
                <a:ln>
                  <a:noFill/>
                </a:ln>
                <a:effectLst/>
              </c:spPr>
              <c:txPr>
                <a:bodyPr wrap="square" lIns="38100" tIns="19050" rIns="38100" bIns="19050" anchor="ctr">
                  <a:spAutoFit/>
                </a:bodyPr>
                <a:lstStyle/>
                <a:p>
                  <a:pPr>
                    <a:defRPr sz="1050" b="1">
                      <a:solidFill>
                        <a:schemeClr val="tx1"/>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2831112457096697E-2"/>
                      <c:h val="6.8277945619335353E-2"/>
                    </c:manualLayout>
                  </c15:layout>
                </c:ext>
                <c:ext xmlns:c16="http://schemas.microsoft.com/office/drawing/2014/chart" uri="{C3380CC4-5D6E-409C-BE32-E72D297353CC}">
                  <c16:uniqueId val="{0000000A-1F3A-41AE-8462-A9E3BCC7B533}"/>
                </c:ext>
              </c:extLst>
            </c:dLbl>
            <c:dLbl>
              <c:idx val="5"/>
              <c:layout>
                <c:manualLayout>
                  <c:x val="-9.5324887273706319E-2"/>
                  <c:y val="-6.0335622699730508E-2"/>
                </c:manualLayout>
              </c:layout>
              <c:spPr>
                <a:noFill/>
                <a:ln>
                  <a:noFill/>
                </a:ln>
                <a:effectLst/>
              </c:spPr>
              <c:txPr>
                <a:bodyPr wrap="square" lIns="38100" tIns="19050" rIns="38100" bIns="19050" anchor="ctr">
                  <a:noAutofit/>
                </a:bodyPr>
                <a:lstStyle/>
                <a:p>
                  <a:pPr>
                    <a:defRPr sz="1050" b="1">
                      <a:solidFill>
                        <a:schemeClr val="tx1"/>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3353186620903158E-2"/>
                      <c:h val="6.6067987725099322E-2"/>
                    </c:manualLayout>
                  </c15:layout>
                </c:ext>
                <c:ext xmlns:c16="http://schemas.microsoft.com/office/drawing/2014/chart" uri="{C3380CC4-5D6E-409C-BE32-E72D297353CC}">
                  <c16:uniqueId val="{0000000B-1F3A-41AE-8462-A9E3BCC7B53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strRef>
              <c:f>'28-days CS'!$A$45:$A$51</c:f>
              <c:strCache>
                <c:ptCount val="7"/>
                <c:pt idx="0">
                  <c:v>REF1</c:v>
                </c:pt>
                <c:pt idx="1">
                  <c:v>REF2</c:v>
                </c:pt>
                <c:pt idx="2">
                  <c:v>REF3</c:v>
                </c:pt>
                <c:pt idx="4">
                  <c:v>CTRL1</c:v>
                </c:pt>
                <c:pt idx="5">
                  <c:v>CTRl2</c:v>
                </c:pt>
                <c:pt idx="6">
                  <c:v>CTRL3</c:v>
                </c:pt>
              </c:strCache>
            </c:strRef>
          </c:xVal>
          <c:yVal>
            <c:numRef>
              <c:f>'28-days CS'!$B$45:$B$51</c:f>
              <c:numCache>
                <c:formatCode>0.00</c:formatCode>
                <c:ptCount val="7"/>
                <c:pt idx="1">
                  <c:v>38.03859122251675</c:v>
                </c:pt>
                <c:pt idx="5" formatCode="0.000">
                  <c:v>36.930644167830849</c:v>
                </c:pt>
              </c:numCache>
            </c:numRef>
          </c:yVal>
          <c:smooth val="0"/>
          <c:extLst>
            <c:ext xmlns:c16="http://schemas.microsoft.com/office/drawing/2014/chart" uri="{C3380CC4-5D6E-409C-BE32-E72D297353CC}">
              <c16:uniqueId val="{0000000C-1F3A-41AE-8462-A9E3BCC7B533}"/>
            </c:ext>
          </c:extLst>
        </c:ser>
        <c:dLbls>
          <c:showLegendKey val="0"/>
          <c:showVal val="0"/>
          <c:showCatName val="0"/>
          <c:showSerName val="0"/>
          <c:showPercent val="0"/>
          <c:showBubbleSize val="0"/>
        </c:dLbls>
        <c:axId val="244258543"/>
        <c:axId val="244278511"/>
      </c:scatterChart>
      <c:catAx>
        <c:axId val="244258543"/>
        <c:scaling>
          <c:orientation val="minMax"/>
        </c:scaling>
        <c:delete val="0"/>
        <c:axPos val="b"/>
        <c:majorGridlines>
          <c:spPr>
            <a:ln w="9525" cap="flat" cmpd="sng" algn="ctr">
              <a:no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crossAx val="244278511"/>
        <c:crosses val="autoZero"/>
        <c:auto val="1"/>
        <c:lblAlgn val="ctr"/>
        <c:lblOffset val="100"/>
        <c:tickMarkSkip val="1"/>
        <c:noMultiLvlLbl val="0"/>
      </c:catAx>
      <c:valAx>
        <c:axId val="244278511"/>
        <c:scaling>
          <c:orientation val="minMax"/>
          <c:max val="50"/>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GB"/>
                  <a:t>Compressive</a:t>
                </a:r>
                <a:r>
                  <a:rPr lang="en-GB" baseline="0"/>
                  <a:t> strength (MPa)</a:t>
                </a:r>
                <a:endParaRPr lang="en-GB"/>
              </a:p>
            </c:rich>
          </c:tx>
          <c:overlay val="0"/>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crossAx val="244258543"/>
        <c:crosses val="autoZero"/>
        <c:crossBetween val="between"/>
        <c:majorUnit val="10"/>
      </c:valAx>
    </c:plotArea>
    <c:plotVisOnly val="1"/>
    <c:dispBlanksAs val="gap"/>
    <c:showDLblsOverMax val="0"/>
    <c:extLst/>
  </c:chart>
  <c:spPr>
    <a:ln>
      <a:noFill/>
    </a:ln>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Ofiteru</dc:creator>
  <cp:keywords/>
  <dc:description/>
  <cp:lastModifiedBy>Dana Ofiteru</cp:lastModifiedBy>
  <cp:revision>1</cp:revision>
  <dcterms:created xsi:type="dcterms:W3CDTF">2026-05-19T16:33:00Z</dcterms:created>
  <dcterms:modified xsi:type="dcterms:W3CDTF">2026-05-19T16:58:00Z</dcterms:modified>
</cp:coreProperties>
</file>