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highlight w:val="none"/>
        </w:rPr>
      </w:pPr>
      <w:bookmarkStart w:id="0" w:name="_GoBack"/>
      <w:r>
        <w:rPr>
          <w:rFonts w:ascii="Times New Roman" w:hAnsi="Times New Roman" w:cs="Times New Roman"/>
          <w:highlight w:val="none"/>
        </w:rPr>
        <w:t>Table 1. Characteristics of patients and associations estimated by logistic regression analyses.</w:t>
      </w:r>
    </w:p>
    <w:bookmarkEnd w:id="0"/>
    <w:tbl>
      <w:tblPr>
        <w:tblStyle w:val="2"/>
        <w:tblpPr w:leftFromText="180" w:rightFromText="180" w:vertAnchor="page" w:horzAnchor="page" w:tblpX="1454" w:tblpY="1955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07"/>
        <w:gridCol w:w="1352"/>
        <w:gridCol w:w="1697"/>
        <w:gridCol w:w="563"/>
        <w:gridCol w:w="1697"/>
        <w:gridCol w:w="563"/>
      </w:tblGrid>
      <w:tr>
        <w:trPr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16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Variable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ttending a follow-up visit</w:t>
            </w:r>
          </w:p>
        </w:tc>
        <w:tc>
          <w:tcPr>
            <w:tcW w:w="0" w:type="auto"/>
            <w:gridSpan w:val="2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Unadjusted OR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Adjusted OR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vertAlign w:val="superscript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No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=2507)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Yes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=5100)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Estimate (95%CI)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Estimate (95%CI)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8.2 ± 1.5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8.0 ± 1.4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0.91 (0.88-0.95)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0.86 (0.82-0.90)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1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133 (5.3%)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161 (3.2%)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1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2374 (94.7%)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4939 (96.8%)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1.72 (1.36-2.17)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1.13 (0.87-1.48)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Province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Non-resident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178 (7.1%)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326 (6.4%)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Resident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2329 (92.9%)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4774 (93.6%)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1.12 (0.93-1.35)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City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Non-resident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1853 (73.9%)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3540 (69.4%)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Resident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654 (26.1%)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1560 (30.6%)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1.25 (1.12-1.39)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1.35 (1.20-1.51)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ormonal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1921 (76.6%)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2719 (53.3%)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586 (23.4%)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2381 (46.7%)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2.87 (2.58-3.20)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2.10 (1.87-2.35)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Follow-up visit 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1426 (56.9%)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1664 (32.6%)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1081 (43.1%)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3436 (67.4%)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2.72 (2.47-3.01)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2.17 (1.96-2.41)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Tanner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1820 (72.6%)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3589 (70.4%)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≥3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687 (27.4%)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1511 (29.6%)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1.12 (1.00-1.24)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0.98 (0.85-1.13)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LH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1014 (40.4%)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1739 (34.1%)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≥0.2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1493 (59.6%)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3361 (65.9%)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1.31 (1.19-1.45)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1.11 (0.98-1.25)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LH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FSH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1893 (75.5%)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3749 (73.5%)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≥0.3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614 (24.5%)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1351 (26.5%)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1.11 (0.99-1.24)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1.18 (1.02-1.36)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stradiol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1681 (67.1%)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2774 (54.4%)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 w:firstLine="200" w:firstLineChars="100"/>
              <w:jc w:val="lef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≥20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826 (32.9%)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2326 (45.6%)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1.71 (1.54-1.89)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1.50 (1.32-1.70)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BMI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z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score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 ± 1.1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0.3 ± 1.0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1.06 (1.01-1.11)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1.04 (0.99-1.09)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0.113</w:t>
            </w:r>
          </w:p>
        </w:tc>
      </w:tr>
    </w:tbl>
    <w:p/>
    <w:p>
      <w:pPr>
        <w:spacing w:line="360" w:lineRule="auto"/>
        <w:rPr>
          <w:rFonts w:ascii="Times New Roman" w:hAnsi="Times New Roman" w:eastAsia="宋体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eastAsia="宋体" w:cs="Times New Roman"/>
          <w:color w:val="000000"/>
          <w:sz w:val="22"/>
          <w:szCs w:val="22"/>
        </w:rPr>
        <w:t>Variable</w:t>
      </w:r>
      <w:r>
        <w:rPr>
          <w:rFonts w:ascii="Times New Roman" w:hAnsi="Times New Roman" w:cs="Times New Roman"/>
        </w:rPr>
        <w:t>s were reported as mean ± standard deviation or n(%).</w:t>
      </w:r>
      <w:r>
        <w:rPr>
          <w:rFonts w:ascii="Times New Roman" w:hAnsi="Times New Roman" w:eastAsia="宋体" w:cs="Times New Roman"/>
          <w:color w:val="000000"/>
          <w:sz w:val="22"/>
          <w:szCs w:val="22"/>
          <w:vertAlign w:val="superscript"/>
        </w:rPr>
        <w:t xml:space="preserve">b </w:t>
      </w:r>
      <w:r>
        <w:rPr>
          <w:rFonts w:ascii="Times New Roman" w:hAnsi="Times New Roman" w:eastAsia="宋体" w:cs="Times New Roman"/>
          <w:color w:val="000000"/>
          <w:sz w:val="22"/>
          <w:szCs w:val="22"/>
        </w:rPr>
        <w:t xml:space="preserve">Unadjusted ORs were estimated by </w:t>
      </w:r>
      <w:r>
        <w:rPr>
          <w:rFonts w:ascii="Times New Roman" w:hAnsi="Times New Roman" w:cs="Times New Roman"/>
        </w:rPr>
        <w:t xml:space="preserve">univariable logistic regression. </w:t>
      </w:r>
      <w:r>
        <w:rPr>
          <w:rFonts w:ascii="Times New Roman" w:hAnsi="Times New Roman" w:eastAsia="宋体" w:cs="Times New Roman"/>
          <w:color w:val="000000"/>
          <w:sz w:val="22"/>
          <w:szCs w:val="22"/>
          <w:vertAlign w:val="superscript"/>
        </w:rPr>
        <w:t>c</w:t>
      </w:r>
      <w:r>
        <w:rPr>
          <w:rFonts w:ascii="Times New Roman" w:hAnsi="Times New Roman" w:cs="Times New Roman"/>
        </w:rPr>
        <w:t>Adjusted ORs were estimated using multivariable logistic regression, including variables that showed significance in the univariable logistic regression.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d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BMI z-scores were calculated according to the CDC standards.</w:t>
      </w:r>
    </w:p>
    <w:p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NmMxZjRhZTQ0OTNiZDg2ZGVlMjYwMTQyYjc2M2IifQ=="/>
  </w:docVars>
  <w:rsids>
    <w:rsidRoot w:val="00000000"/>
    <w:rsid w:val="0348054F"/>
    <w:rsid w:val="0D2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2025-04-23T13:07:00Z</dcterms:created>
  <dc:creator>64291</dc:creator>
  <cp:lastModifiedBy>周费翔</cp:lastModifiedBy>
  <dcterms:modified xsi:type="dcterms:W3CDTF">2026-05-16T04:28:01Z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D20D16137295430A9D20D26BA3A19EE6_12</vt:lpwstr>
  </property>
</Properties>
</file>