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Supplementary Materials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 xml:space="preserve">This document supplements the manuscript entitled </w:t>
      </w:r>
      <w:r>
        <w:rPr>
          <w:rFonts w:hint="default" w:ascii="Times New Roman" w:hAnsi="Times New Roman" w:cs="Times New Roman"/>
          <w:sz w:val="24"/>
          <w:szCs w:val="24"/>
          <w:highlight w:val="none"/>
          <w:lang w:val="en-US" w:eastAsia="zh-CN"/>
        </w:rPr>
        <w:t>“</w:t>
      </w:r>
      <w:r>
        <w:rPr>
          <w:rFonts w:hint="eastAsia" w:ascii="Times New Roman" w:hAnsi="Times New Roman" w:cs="Times New Roman"/>
          <w:sz w:val="24"/>
          <w:szCs w:val="24"/>
          <w:highlight w:val="none"/>
          <w:lang w:val="en-US" w:eastAsia="zh-CN"/>
        </w:rPr>
        <w:t>Establishment and application of real-world datasets for precocious puberty from electronic health records based on large language models</w:t>
      </w:r>
      <w:bookmarkStart w:id="1" w:name="_GoBack"/>
      <w:bookmarkEnd w:id="1"/>
      <w:r>
        <w:rPr>
          <w:rFonts w:hint="default" w:ascii="Times New Roman" w:hAnsi="Times New Roman" w:cs="Times New Roman"/>
          <w:sz w:val="24"/>
          <w:szCs w:val="24"/>
          <w:highlight w:val="none"/>
          <w:lang w:val="en-US" w:eastAsia="zh-CN"/>
        </w:rPr>
        <w:t>”</w:t>
      </w:r>
      <w:r>
        <w:rPr>
          <w:rFonts w:hint="eastAsia" w:ascii="Times New Roman" w:hAnsi="Times New Roman" w:cs="Times New Roman"/>
          <w:sz w:val="24"/>
          <w:szCs w:val="24"/>
          <w:highlight w:val="none"/>
          <w:lang w:val="en-US" w:eastAsia="zh-CN"/>
        </w:rPr>
        <w:t>.</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b/>
          <w:szCs w:val="21"/>
          <w:highlight w:val="none"/>
          <w:vertAlign w:val="superscript"/>
        </w:rPr>
      </w:pPr>
      <w:r>
        <w:rPr>
          <w:rFonts w:hint="default" w:ascii="Times New Roman" w:hAnsi="Times New Roman" w:cs="Times New Roman"/>
          <w:color w:val="000000" w:themeColor="text1"/>
          <w:szCs w:val="21"/>
          <w:highlight w:val="none"/>
          <w14:textFill>
            <w14:solidFill>
              <w14:schemeClr w14:val="tx1"/>
            </w14:solidFill>
          </w14:textFill>
        </w:rPr>
        <w:t>Feixiang Zhou, PhD student</w:t>
      </w:r>
      <w:r>
        <w:rPr>
          <w:rFonts w:hint="default" w:ascii="Times New Roman" w:hAnsi="Times New Roman" w:cs="Times New Roman"/>
          <w:color w:val="000000" w:themeColor="text1"/>
          <w:szCs w:val="21"/>
          <w:highlight w:val="none"/>
          <w:vertAlign w:val="superscript"/>
          <w14:textFill>
            <w14:solidFill>
              <w14:schemeClr w14:val="tx1"/>
            </w14:solidFill>
          </w14:textFill>
        </w:rPr>
        <w:t>1</w:t>
      </w:r>
      <w:r>
        <w:rPr>
          <w:rFonts w:hint="default" w:ascii="Times New Roman" w:hAnsi="Times New Roman" w:cs="Times New Roman"/>
          <w:color w:val="000000" w:themeColor="text1"/>
          <w:szCs w:val="21"/>
          <w:highlight w:val="none"/>
          <w14:textFill>
            <w14:solidFill>
              <w14:schemeClr w14:val="tx1"/>
            </w14:solidFill>
          </w14:textFill>
        </w:rPr>
        <w:t>, Taowei Zhong, PhD student</w:t>
      </w:r>
      <w:r>
        <w:rPr>
          <w:rFonts w:hint="default" w:ascii="Times New Roman" w:hAnsi="Times New Roman" w:cs="Times New Roman"/>
          <w:color w:val="000000" w:themeColor="text1"/>
          <w:szCs w:val="21"/>
          <w:highlight w:val="none"/>
          <w:vertAlign w:val="superscript"/>
          <w14:textFill>
            <w14:solidFill>
              <w14:schemeClr w14:val="tx1"/>
            </w14:solidFill>
          </w14:textFill>
        </w:rPr>
        <w:t>1</w:t>
      </w:r>
      <w:r>
        <w:rPr>
          <w:rFonts w:hint="default" w:ascii="Times New Roman" w:hAnsi="Times New Roman" w:cs="Times New Roman"/>
          <w:color w:val="000000" w:themeColor="text1"/>
          <w:szCs w:val="21"/>
          <w:highlight w:val="none"/>
          <w14:textFill>
            <w14:solidFill>
              <w14:schemeClr w14:val="tx1"/>
            </w14:solidFill>
          </w14:textFill>
        </w:rPr>
        <w:t>, Simin He, PhD student</w:t>
      </w:r>
      <w:r>
        <w:rPr>
          <w:rFonts w:hint="default" w:ascii="Times New Roman" w:hAnsi="Times New Roman" w:cs="Times New Roman"/>
          <w:color w:val="000000" w:themeColor="text1"/>
          <w:szCs w:val="21"/>
          <w:highlight w:val="none"/>
          <w:vertAlign w:val="superscript"/>
          <w14:textFill>
            <w14:solidFill>
              <w14:schemeClr w14:val="tx1"/>
            </w14:solidFill>
          </w14:textFill>
        </w:rPr>
        <w:t>1</w:t>
      </w:r>
      <w:r>
        <w:rPr>
          <w:rFonts w:hint="default" w:ascii="Times New Roman" w:hAnsi="Times New Roman" w:cs="Times New Roman"/>
          <w:color w:val="000000" w:themeColor="text1"/>
          <w:szCs w:val="21"/>
          <w:highlight w:val="none"/>
          <w14:textFill>
            <w14:solidFill>
              <w14:schemeClr w14:val="tx1"/>
            </w14:solidFill>
          </w14:textFill>
        </w:rPr>
        <w:t>, Guiyan Yang, MD, PhD</w:t>
      </w:r>
      <w:r>
        <w:rPr>
          <w:rFonts w:hint="default" w:ascii="Times New Roman" w:hAnsi="Times New Roman" w:cs="Times New Roman"/>
          <w:color w:val="000000" w:themeColor="text1"/>
          <w:szCs w:val="21"/>
          <w:highlight w:val="none"/>
          <w:vertAlign w:val="superscript"/>
          <w14:textFill>
            <w14:solidFill>
              <w14:schemeClr w14:val="tx1"/>
            </w14:solidFill>
          </w14:textFill>
        </w:rPr>
        <w:t>1</w:t>
      </w:r>
      <w:r>
        <w:rPr>
          <w:rFonts w:hint="default" w:ascii="Times New Roman" w:hAnsi="Times New Roman" w:cs="Times New Roman"/>
          <w:color w:val="000000" w:themeColor="text1"/>
          <w:szCs w:val="21"/>
          <w:highlight w:val="none"/>
          <w14:textFill>
            <w14:solidFill>
              <w14:schemeClr w14:val="tx1"/>
            </w14:solidFill>
          </w14:textFill>
        </w:rPr>
        <w:t>, Xianglong Ding, MD student</w:t>
      </w:r>
      <w:r>
        <w:rPr>
          <w:rFonts w:hint="default" w:ascii="Times New Roman" w:hAnsi="Times New Roman" w:cs="Times New Roman"/>
          <w:color w:val="000000" w:themeColor="text1"/>
          <w:szCs w:val="21"/>
          <w:highlight w:val="none"/>
          <w:vertAlign w:val="superscript"/>
          <w14:textFill>
            <w14:solidFill>
              <w14:schemeClr w14:val="tx1"/>
            </w14:solidFill>
          </w14:textFill>
        </w:rPr>
        <w:t>1</w:t>
      </w:r>
      <w:r>
        <w:rPr>
          <w:rFonts w:hint="default" w:ascii="Times New Roman" w:hAnsi="Times New Roman" w:cs="Times New Roman"/>
          <w:color w:val="000000" w:themeColor="text1"/>
          <w:szCs w:val="21"/>
          <w:highlight w:val="none"/>
          <w14:textFill>
            <w14:solidFill>
              <w14:schemeClr w14:val="tx1"/>
            </w14:solidFill>
          </w14:textFill>
        </w:rPr>
        <w:t>, Gang Tian, MD, PhD</w:t>
      </w:r>
      <w:r>
        <w:rPr>
          <w:rFonts w:hint="default" w:ascii="Times New Roman" w:hAnsi="Times New Roman" w:cs="Times New Roman"/>
          <w:color w:val="000000" w:themeColor="text1"/>
          <w:szCs w:val="21"/>
          <w:highlight w:val="none"/>
          <w:vertAlign w:val="superscript"/>
          <w14:textFill>
            <w14:solidFill>
              <w14:schemeClr w14:val="tx1"/>
            </w14:solidFill>
          </w14:textFill>
        </w:rPr>
        <w:t>2</w:t>
      </w:r>
      <w:r>
        <w:rPr>
          <w:rFonts w:hint="default" w:ascii="Times New Roman" w:hAnsi="Times New Roman" w:cs="Times New Roman"/>
          <w:color w:val="000000" w:themeColor="text1"/>
          <w:szCs w:val="21"/>
          <w:highlight w:val="none"/>
          <w14:textFill>
            <w14:solidFill>
              <w14:schemeClr w14:val="tx1"/>
            </w14:solidFill>
          </w14:textFill>
        </w:rPr>
        <w:t>, Shiting Xiang, MD</w:t>
      </w:r>
      <w:r>
        <w:rPr>
          <w:rFonts w:hint="default" w:ascii="Times New Roman" w:hAnsi="Times New Roman" w:cs="Times New Roman"/>
          <w:color w:val="000000" w:themeColor="text1"/>
          <w:szCs w:val="21"/>
          <w:highlight w:val="none"/>
          <w:vertAlign w:val="superscript"/>
          <w14:textFill>
            <w14:solidFill>
              <w14:schemeClr w14:val="tx1"/>
            </w14:solidFill>
          </w14:textFill>
        </w:rPr>
        <w:t>3</w:t>
      </w:r>
      <w:r>
        <w:rPr>
          <w:rFonts w:hint="default" w:ascii="Times New Roman" w:hAnsi="Times New Roman" w:cs="Times New Roman"/>
          <w:color w:val="000000" w:themeColor="text1"/>
          <w:szCs w:val="21"/>
          <w:highlight w:val="none"/>
          <w14:textFill>
            <w14:solidFill>
              <w14:schemeClr w14:val="tx1"/>
            </w14:solidFill>
          </w14:textFill>
        </w:rPr>
        <w:t xml:space="preserve">, </w:t>
      </w:r>
      <w:bookmarkStart w:id="0" w:name="OLE_LINK10"/>
      <w:r>
        <w:rPr>
          <w:rFonts w:hint="default" w:ascii="Times New Roman" w:hAnsi="Times New Roman" w:cs="Times New Roman"/>
          <w:color w:val="000000" w:themeColor="text1"/>
          <w:szCs w:val="21"/>
          <w:highlight w:val="none"/>
          <w14:textFill>
            <w14:solidFill>
              <w14:schemeClr w14:val="tx1"/>
            </w14:solidFill>
          </w14:textFill>
        </w:rPr>
        <w:t>Shan Tan</w:t>
      </w:r>
      <w:bookmarkEnd w:id="0"/>
      <w:r>
        <w:rPr>
          <w:rFonts w:hint="default" w:ascii="Times New Roman" w:hAnsi="Times New Roman" w:cs="Times New Roman"/>
          <w:color w:val="000000" w:themeColor="text1"/>
          <w:szCs w:val="21"/>
          <w:highlight w:val="none"/>
          <w14:textFill>
            <w14:solidFill>
              <w14:schemeClr w14:val="tx1"/>
            </w14:solidFill>
          </w14:textFill>
        </w:rPr>
        <w:t>, MD</w:t>
      </w:r>
      <w:r>
        <w:rPr>
          <w:rFonts w:hint="default" w:ascii="Times New Roman" w:hAnsi="Times New Roman" w:cs="Times New Roman"/>
          <w:color w:val="000000" w:themeColor="text1"/>
          <w:szCs w:val="21"/>
          <w:highlight w:val="none"/>
          <w:vertAlign w:val="superscript"/>
          <w14:textFill>
            <w14:solidFill>
              <w14:schemeClr w14:val="tx1"/>
            </w14:solidFill>
          </w14:textFill>
        </w:rPr>
        <w:t>4</w:t>
      </w:r>
      <w:r>
        <w:rPr>
          <w:rFonts w:hint="default" w:ascii="Times New Roman" w:hAnsi="Times New Roman" w:cs="Times New Roman"/>
          <w:color w:val="000000" w:themeColor="text1"/>
          <w:szCs w:val="21"/>
          <w:highlight w:val="none"/>
          <w14:textFill>
            <w14:solidFill>
              <w14:schemeClr w14:val="tx1"/>
            </w14:solidFill>
          </w14:textFill>
        </w:rPr>
        <w:t>, Sha Zhao, MD, PhD</w:t>
      </w:r>
      <w:r>
        <w:rPr>
          <w:rFonts w:hint="default" w:ascii="Times New Roman" w:hAnsi="Times New Roman" w:cs="Times New Roman"/>
          <w:color w:val="000000" w:themeColor="text1"/>
          <w:szCs w:val="21"/>
          <w:highlight w:val="none"/>
          <w:vertAlign w:val="superscript"/>
          <w14:textFill>
            <w14:solidFill>
              <w14:schemeClr w14:val="tx1"/>
            </w14:solidFill>
          </w14:textFill>
        </w:rPr>
        <w:t>5</w:t>
      </w:r>
      <w:r>
        <w:rPr>
          <w:rFonts w:hint="default" w:ascii="Times New Roman" w:hAnsi="Times New Roman" w:cs="Times New Roman"/>
          <w:color w:val="000000" w:themeColor="text1"/>
          <w:szCs w:val="21"/>
          <w:highlight w:val="none"/>
          <w14:textFill>
            <w14:solidFill>
              <w14:schemeClr w14:val="tx1"/>
            </w14:solidFill>
          </w14:textFill>
        </w:rPr>
        <w:t>,Yan Yan, MD, PhD</w:t>
      </w:r>
      <w:r>
        <w:rPr>
          <w:rFonts w:hint="default" w:ascii="Times New Roman" w:hAnsi="Times New Roman" w:cs="Times New Roman"/>
          <w:color w:val="000000" w:themeColor="text1"/>
          <w:szCs w:val="21"/>
          <w:highlight w:val="none"/>
          <w:vertAlign w:val="superscript"/>
          <w14:textFill>
            <w14:solidFill>
              <w14:schemeClr w14:val="tx1"/>
            </w14:solidFill>
          </w14:textFill>
        </w:rPr>
        <w:t xml:space="preserve">1* </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cs="Times New Roman"/>
          <w:b w:val="0"/>
          <w:bCs/>
          <w:sz w:val="21"/>
          <w:szCs w:val="21"/>
          <w:highlight w:val="none"/>
          <w:lang w:val="en-US"/>
        </w:rPr>
      </w:pPr>
      <w:r>
        <w:rPr>
          <w:rFonts w:hint="default" w:ascii="Times New Roman" w:hAnsi="Times New Roman" w:cs="Times New Roman"/>
          <w:b w:val="0"/>
          <w:bCs/>
          <w:sz w:val="21"/>
          <w:szCs w:val="21"/>
          <w:highlight w:val="none"/>
          <w:lang w:val="en-US"/>
        </w:rPr>
        <w:t xml:space="preserve">* </w:t>
      </w:r>
      <w:r>
        <w:rPr>
          <w:rFonts w:hint="default" w:ascii="Times New Roman" w:hAnsi="Times New Roman" w:cs="Times New Roman"/>
          <w:bCs w:val="0"/>
          <w:sz w:val="21"/>
          <w:szCs w:val="21"/>
          <w:highlight w:val="none"/>
          <w:lang w:val="en-US"/>
        </w:rPr>
        <w:t>Correspondence author:</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cs="Times New Roman"/>
          <w:b w:val="0"/>
          <w:bCs/>
          <w:sz w:val="21"/>
          <w:szCs w:val="21"/>
          <w:highlight w:val="none"/>
          <w:lang w:val="en-US"/>
        </w:rPr>
      </w:pPr>
      <w:r>
        <w:rPr>
          <w:rFonts w:hint="default" w:ascii="Times New Roman" w:hAnsi="Times New Roman" w:cs="Times New Roman"/>
          <w:b w:val="0"/>
          <w:bCs/>
          <w:sz w:val="21"/>
          <w:szCs w:val="21"/>
          <w:highlight w:val="none"/>
          <w:lang w:val="en-US"/>
        </w:rPr>
        <w:t>Yan Yan, Department of Epidemiology and Health Statistics, Xiangya School of Public Health, Central South University, Changsha 410078, Hunan, China.</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cs="Times New Roman"/>
          <w:szCs w:val="21"/>
          <w:highlight w:val="none"/>
          <w:lang w:val="en-US"/>
        </w:rPr>
      </w:pPr>
      <w:r>
        <w:rPr>
          <w:rFonts w:hint="default" w:ascii="Times New Roman" w:hAnsi="Times New Roman" w:cs="Times New Roman"/>
          <w:b w:val="0"/>
          <w:bCs/>
          <w:sz w:val="21"/>
          <w:szCs w:val="21"/>
          <w:highlight w:val="none"/>
          <w:lang w:val="en-US"/>
        </w:rPr>
        <w:t>Email: yanyan802394@126.com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4"/>
          <w:szCs w:val="24"/>
          <w:highlight w:val="none"/>
          <w:lang w:val="en-US" w:eastAsia="zh-C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eMethod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eTable 1. Rule-based retrieval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eTable 2. Precocious puberty data element classification framework and identifier arrangement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eTable 3. Description of precocious puberty data element directory and attributes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eTable 4. Prompt engineering based on the CRISPE framework</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eTable 5. Information extraction performance of large language model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eTable 6. Model parameters and semantic similarity of inputs and outputs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eTable 7. Correlations between semantic similarity metrics and input length, output length, and average response time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eTable 8.Summary of measurements in female children with precocious puberty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eTable 9.Goodness of fit of growth charts under BCT, BCPE and BCCG distributions in the GAMLSS model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eTable 10. Percentile values for height, weight, and BMI in females aged 4-12 years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eTable 11.Descriptions of GLM-4-9b under prompts to demonstrate knowledge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eTable 12.A summary of some issues in information extraction with the large language model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eFigure 1. Flow diagram of patient selection for follow-up visit prediction and growth charts studies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i w:val="0"/>
          <w:color w:val="000000"/>
          <w:sz w:val="22"/>
          <w:szCs w:val="22"/>
          <w:highlight w:val="none"/>
          <w:u w:val="none"/>
          <w:lang w:val="en-US" w:eastAsia="zh-CN"/>
        </w:rPr>
      </w:pPr>
      <w:r>
        <w:rPr>
          <w:rFonts w:hint="eastAsia" w:ascii="Times New Roman" w:hAnsi="Times New Roman" w:cs="Times New Roman"/>
          <w:b/>
          <w:bCs/>
          <w:sz w:val="24"/>
          <w:szCs w:val="24"/>
          <w:highlight w:val="none"/>
          <w:lang w:val="en-US" w:eastAsia="zh-CN"/>
        </w:rPr>
        <w:t>eFigure 2</w:t>
      </w:r>
      <w:r>
        <w:rPr>
          <w:rFonts w:hint="eastAsia" w:ascii="Times New Roman" w:hAnsi="Times New Roman" w:eastAsia="宋体" w:cs="Times New Roman"/>
          <w:b/>
          <w:bCs/>
          <w:i w:val="0"/>
          <w:color w:val="000000"/>
          <w:sz w:val="22"/>
          <w:szCs w:val="22"/>
          <w:highlight w:val="none"/>
          <w:u w:val="none"/>
          <w:lang w:val="en-US" w:eastAsia="zh-CN"/>
        </w:rPr>
        <w:t xml:space="preserve">. Age-specific growth charts in </w:t>
      </w:r>
      <w:r>
        <w:rPr>
          <w:rFonts w:hint="eastAsia" w:ascii="Times New Roman" w:hAnsi="Times New Roman" w:cs="Times New Roman"/>
          <w:b/>
          <w:bCs/>
          <w:highlight w:val="none"/>
          <w:lang w:val="en-US" w:eastAsia="zh-CN"/>
        </w:rPr>
        <w:t>non-hormone treated</w:t>
      </w:r>
      <w:r>
        <w:rPr>
          <w:rFonts w:hint="eastAsia" w:ascii="Times New Roman" w:hAnsi="Times New Roman" w:eastAsia="宋体" w:cs="Times New Roman"/>
          <w:b/>
          <w:bCs/>
          <w:i w:val="0"/>
          <w:color w:val="000000"/>
          <w:sz w:val="22"/>
          <w:szCs w:val="22"/>
          <w:highlight w:val="none"/>
          <w:u w:val="none"/>
          <w:lang w:val="en-US" w:eastAsia="zh-CN"/>
        </w:rPr>
        <w:t xml:space="preserve"> female children with precocious puberty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eFigure 3. HuggingFists low-code interface for llm-based data processing workflow</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eFigure 4. Performance comparison of five large language models on precocious puberty risk factor information extraction from Chinese electronic health records.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b/>
          <w:bCs/>
          <w:sz w:val="24"/>
          <w:szCs w:val="24"/>
          <w:highlight w:val="none"/>
          <w:lang w:val="en-US" w:eastAsia="zh-CN"/>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i w:val="0"/>
          <w:color w:val="000000"/>
          <w:sz w:val="22"/>
          <w:szCs w:val="22"/>
          <w:highlight w:val="none"/>
          <w:u w:val="none"/>
          <w:lang w:val="en-US" w:eastAsia="zh-CN"/>
        </w:rPr>
      </w:pP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val="0"/>
          <w:i w:val="0"/>
          <w:color w:val="000000"/>
          <w:sz w:val="22"/>
          <w:szCs w:val="22"/>
          <w:highlight w:val="none"/>
          <w:u w:val="none"/>
          <w:lang w:val="en-US" w:eastAsia="zh-CN"/>
        </w:rPr>
      </w:pPr>
      <w:r>
        <w:rPr>
          <w:rFonts w:hint="eastAsia" w:ascii="Times New Roman" w:hAnsi="Times New Roman" w:eastAsia="宋体" w:cs="Times New Roman"/>
          <w:b w:val="0"/>
          <w:i w:val="0"/>
          <w:color w:val="000000"/>
          <w:sz w:val="22"/>
          <w:szCs w:val="22"/>
          <w:highlight w:val="none"/>
          <w:u w:val="none"/>
          <w:lang w:val="en-US" w:eastAsia="zh-CN"/>
        </w:rPr>
        <w:br w:type="page"/>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drawing>
          <wp:inline distT="0" distB="0" distL="114300" distR="114300">
            <wp:extent cx="5723255" cy="3907155"/>
            <wp:effectExtent l="0" t="0" r="10795" b="17145"/>
            <wp:docPr id="1" name="图片 1" descr="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1(1)"/>
                    <pic:cNvPicPr>
                      <a:picLocks noChangeAspect="1"/>
                    </pic:cNvPicPr>
                  </pic:nvPicPr>
                  <pic:blipFill>
                    <a:blip r:embed="rId5"/>
                    <a:stretch>
                      <a:fillRect/>
                    </a:stretch>
                  </pic:blipFill>
                  <pic:spPr>
                    <a:xfrm>
                      <a:off x="0" y="0"/>
                      <a:ext cx="5723255" cy="390715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highlight w:val="none"/>
          <w:lang w:val="en-US" w:eastAsia="zh-CN"/>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b/>
          <w:bCs/>
          <w:sz w:val="24"/>
          <w:szCs w:val="24"/>
          <w:highlight w:val="none"/>
          <w:lang w:val="en-US" w:eastAsia="zh-CN"/>
        </w:rPr>
        <w:t>eFigure 1. Flow diagram of patient selection for follow-up visit prediction and growth charts studies.</w:t>
      </w:r>
      <w:r>
        <w:rPr>
          <w:rFonts w:hint="eastAsia" w:ascii="Times New Roman" w:hAnsi="Times New Roman" w:cs="Times New Roman"/>
          <w:sz w:val="24"/>
          <w:szCs w:val="24"/>
          <w:highlight w:val="none"/>
          <w:lang w:val="en-US" w:eastAsia="zh-CN"/>
        </w:rPr>
        <w:t xml:space="preserve"> This flow diagram illustrates the patient selection process from the real-world datasets of precocious puberty. Starting with 10,846 children (n</w:t>
      </w:r>
      <w:r>
        <w:rPr>
          <w:rFonts w:hint="eastAsia" w:ascii="Times New Roman" w:hAnsi="Times New Roman" w:cs="Times New Roman"/>
          <w:sz w:val="24"/>
          <w:szCs w:val="24"/>
          <w:highlight w:val="none"/>
          <w:vertAlign w:val="subscript"/>
          <w:lang w:val="en-US" w:eastAsia="zh-CN"/>
        </w:rPr>
        <w:t>1</w:t>
      </w:r>
      <w:r>
        <w:rPr>
          <w:rFonts w:hint="eastAsia" w:ascii="Times New Roman" w:hAnsi="Times New Roman" w:cs="Times New Roman"/>
          <w:sz w:val="24"/>
          <w:szCs w:val="24"/>
          <w:highlight w:val="none"/>
          <w:lang w:val="en-US" w:eastAsia="zh-CN"/>
        </w:rPr>
        <w:t>) contributing 25,293 Electronic Health Records (EHRs, n</w:t>
      </w:r>
      <w:r>
        <w:rPr>
          <w:rFonts w:hint="eastAsia" w:ascii="Times New Roman" w:hAnsi="Times New Roman" w:cs="Times New Roman"/>
          <w:sz w:val="24"/>
          <w:szCs w:val="24"/>
          <w:highlight w:val="none"/>
          <w:vertAlign w:val="subscript"/>
          <w:lang w:val="en-US" w:eastAsia="zh-CN"/>
        </w:rPr>
        <w:t>2</w:t>
      </w:r>
      <w:r>
        <w:rPr>
          <w:rFonts w:hint="eastAsia" w:ascii="Times New Roman" w:hAnsi="Times New Roman" w:cs="Times New Roman"/>
          <w:sz w:val="24"/>
          <w:szCs w:val="24"/>
          <w:highlight w:val="none"/>
          <w:lang w:val="en-US" w:eastAsia="zh-CN"/>
        </w:rPr>
        <w:t>), the datasets were used for two independent studies. Follow-up visit prediction (Left path, n</w:t>
      </w:r>
      <w:r>
        <w:rPr>
          <w:rFonts w:hint="eastAsia" w:ascii="Times New Roman" w:hAnsi="Times New Roman" w:cs="Times New Roman"/>
          <w:sz w:val="24"/>
          <w:szCs w:val="24"/>
          <w:highlight w:val="none"/>
          <w:vertAlign w:val="subscript"/>
          <w:lang w:val="en-US" w:eastAsia="zh-CN"/>
        </w:rPr>
        <w:t>a</w:t>
      </w:r>
      <w:r>
        <w:rPr>
          <w:rFonts w:hint="eastAsia" w:ascii="Times New Roman" w:hAnsi="Times New Roman" w:cs="Times New Roman"/>
          <w:sz w:val="24"/>
          <w:szCs w:val="24"/>
          <w:highlight w:val="none"/>
          <w:lang w:val="en-US" w:eastAsia="zh-CN"/>
        </w:rPr>
        <w:t>): Records with initial visits after June 1, 2024 (n</w:t>
      </w:r>
      <w:r>
        <w:rPr>
          <w:rFonts w:hint="eastAsia" w:ascii="Times New Roman" w:hAnsi="Times New Roman" w:cs="Times New Roman"/>
          <w:sz w:val="24"/>
          <w:szCs w:val="24"/>
          <w:highlight w:val="none"/>
          <w:vertAlign w:val="subscript"/>
          <w:lang w:val="en-US" w:eastAsia="zh-CN"/>
        </w:rPr>
        <w:t>1</w:t>
      </w:r>
      <w:r>
        <w:rPr>
          <w:rFonts w:hint="eastAsia" w:ascii="Times New Roman" w:hAnsi="Times New Roman" w:cs="Times New Roman"/>
          <w:sz w:val="24"/>
          <w:szCs w:val="24"/>
          <w:highlight w:val="none"/>
          <w:lang w:val="en-US" w:eastAsia="zh-CN"/>
        </w:rPr>
        <w:t>=216, n</w:t>
      </w:r>
      <w:r>
        <w:rPr>
          <w:rFonts w:hint="eastAsia" w:ascii="Times New Roman" w:hAnsi="Times New Roman" w:cs="Times New Roman"/>
          <w:sz w:val="24"/>
          <w:szCs w:val="24"/>
          <w:highlight w:val="none"/>
          <w:vertAlign w:val="subscript"/>
          <w:lang w:val="en-US" w:eastAsia="zh-CN"/>
        </w:rPr>
        <w:t>2</w:t>
      </w:r>
      <w:r>
        <w:rPr>
          <w:rFonts w:hint="eastAsia" w:ascii="Times New Roman" w:hAnsi="Times New Roman" w:cs="Times New Roman"/>
          <w:sz w:val="24"/>
          <w:szCs w:val="24"/>
          <w:highlight w:val="none"/>
          <w:lang w:val="en-US" w:eastAsia="zh-CN"/>
        </w:rPr>
        <w:t>=283) were excluded, leaving 10,630 participants (n</w:t>
      </w:r>
      <w:r>
        <w:rPr>
          <w:rFonts w:hint="eastAsia" w:ascii="Times New Roman" w:hAnsi="Times New Roman" w:cs="Times New Roman"/>
          <w:sz w:val="24"/>
          <w:szCs w:val="24"/>
          <w:highlight w:val="none"/>
          <w:vertAlign w:val="subscript"/>
          <w:lang w:val="en-US" w:eastAsia="zh-CN"/>
        </w:rPr>
        <w:t>2</w:t>
      </w:r>
      <w:r>
        <w:rPr>
          <w:rFonts w:hint="eastAsia" w:ascii="Times New Roman" w:hAnsi="Times New Roman" w:cs="Times New Roman"/>
          <w:sz w:val="24"/>
          <w:szCs w:val="24"/>
          <w:highlight w:val="none"/>
          <w:lang w:val="en-US" w:eastAsia="zh-CN"/>
        </w:rPr>
        <w:t>=25,010 EHRs). Further exclusion based on variables with over 20% missing values (n</w:t>
      </w:r>
      <w:r>
        <w:rPr>
          <w:rFonts w:hint="eastAsia" w:ascii="Times New Roman" w:hAnsi="Times New Roman" w:cs="Times New Roman"/>
          <w:sz w:val="24"/>
          <w:szCs w:val="24"/>
          <w:highlight w:val="none"/>
          <w:vertAlign w:val="subscript"/>
          <w:lang w:val="en-US" w:eastAsia="zh-CN"/>
        </w:rPr>
        <w:t>1</w:t>
      </w:r>
      <w:r>
        <w:rPr>
          <w:rFonts w:hint="eastAsia" w:ascii="Times New Roman" w:hAnsi="Times New Roman" w:cs="Times New Roman"/>
          <w:sz w:val="24"/>
          <w:szCs w:val="24"/>
          <w:highlight w:val="none"/>
          <w:lang w:val="en-US" w:eastAsia="zh-CN"/>
        </w:rPr>
        <w:t>=3,023, n</w:t>
      </w:r>
      <w:r>
        <w:rPr>
          <w:rFonts w:hint="eastAsia" w:ascii="Times New Roman" w:hAnsi="Times New Roman" w:cs="Times New Roman"/>
          <w:sz w:val="24"/>
          <w:szCs w:val="24"/>
          <w:highlight w:val="none"/>
          <w:vertAlign w:val="subscript"/>
          <w:lang w:val="en-US" w:eastAsia="zh-CN"/>
        </w:rPr>
        <w:t>2</w:t>
      </w:r>
      <w:r>
        <w:rPr>
          <w:rFonts w:hint="eastAsia" w:ascii="Times New Roman" w:hAnsi="Times New Roman" w:cs="Times New Roman"/>
          <w:sz w:val="24"/>
          <w:szCs w:val="24"/>
          <w:highlight w:val="none"/>
          <w:lang w:val="en-US" w:eastAsia="zh-CN"/>
        </w:rPr>
        <w:t>=5,630) resulted in a final sample of n</w:t>
      </w:r>
      <w:r>
        <w:rPr>
          <w:rFonts w:hint="eastAsia" w:ascii="Times New Roman" w:hAnsi="Times New Roman" w:cs="Times New Roman"/>
          <w:sz w:val="24"/>
          <w:szCs w:val="24"/>
          <w:highlight w:val="none"/>
          <w:vertAlign w:val="subscript"/>
          <w:lang w:val="en-US" w:eastAsia="zh-CN"/>
        </w:rPr>
        <w:t>a</w:t>
      </w:r>
      <w:r>
        <w:rPr>
          <w:rFonts w:hint="eastAsia" w:ascii="Times New Roman" w:hAnsi="Times New Roman" w:cs="Times New Roman"/>
          <w:sz w:val="24"/>
          <w:szCs w:val="24"/>
          <w:highlight w:val="none"/>
          <w:lang w:val="en-US" w:eastAsia="zh-CN"/>
        </w:rPr>
        <w:t>= 7,607 children (n</w:t>
      </w:r>
      <w:r>
        <w:rPr>
          <w:rFonts w:hint="eastAsia" w:ascii="Times New Roman" w:hAnsi="Times New Roman" w:cs="Times New Roman"/>
          <w:sz w:val="24"/>
          <w:szCs w:val="24"/>
          <w:highlight w:val="none"/>
          <w:vertAlign w:val="subscript"/>
          <w:lang w:val="en-US" w:eastAsia="zh-CN"/>
        </w:rPr>
        <w:t>2</w:t>
      </w:r>
      <w:r>
        <w:rPr>
          <w:rFonts w:hint="eastAsia" w:ascii="Times New Roman" w:hAnsi="Times New Roman" w:cs="Times New Roman"/>
          <w:sz w:val="24"/>
          <w:szCs w:val="24"/>
          <w:highlight w:val="none"/>
          <w:lang w:val="en-US" w:eastAsia="zh-CN"/>
        </w:rPr>
        <w:t>=19,380 EHRs) for the follow-up visit prediction. Growth charts study (Right path, n</w:t>
      </w:r>
      <w:r>
        <w:rPr>
          <w:rFonts w:hint="eastAsia" w:ascii="Times New Roman" w:hAnsi="Times New Roman" w:cs="Times New Roman"/>
          <w:sz w:val="24"/>
          <w:szCs w:val="24"/>
          <w:highlight w:val="none"/>
          <w:vertAlign w:val="subscript"/>
          <w:lang w:val="en-US" w:eastAsia="zh-CN"/>
        </w:rPr>
        <w:t>b</w:t>
      </w:r>
      <w:r>
        <w:rPr>
          <w:rFonts w:hint="eastAsia" w:ascii="Times New Roman" w:hAnsi="Times New Roman" w:cs="Times New Roman"/>
          <w:sz w:val="24"/>
          <w:szCs w:val="24"/>
          <w:highlight w:val="none"/>
          <w:lang w:val="en-US" w:eastAsia="zh-CN"/>
        </w:rPr>
        <w:t>): Records for males or those with missing measurements (n</w:t>
      </w:r>
      <w:r>
        <w:rPr>
          <w:rFonts w:hint="eastAsia" w:ascii="Times New Roman" w:hAnsi="Times New Roman" w:cs="Times New Roman"/>
          <w:sz w:val="24"/>
          <w:szCs w:val="24"/>
          <w:highlight w:val="none"/>
          <w:vertAlign w:val="subscript"/>
          <w:lang w:val="en-US" w:eastAsia="zh-CN"/>
        </w:rPr>
        <w:t>1</w:t>
      </w:r>
      <w:r>
        <w:rPr>
          <w:rFonts w:hint="eastAsia" w:ascii="Times New Roman" w:hAnsi="Times New Roman" w:cs="Times New Roman"/>
          <w:sz w:val="24"/>
          <w:szCs w:val="24"/>
          <w:highlight w:val="none"/>
          <w:lang w:val="en-US" w:eastAsia="zh-CN"/>
        </w:rPr>
        <w:t>=494, n</w:t>
      </w:r>
      <w:r>
        <w:rPr>
          <w:rFonts w:hint="eastAsia" w:ascii="Times New Roman" w:hAnsi="Times New Roman" w:cs="Times New Roman"/>
          <w:sz w:val="24"/>
          <w:szCs w:val="24"/>
          <w:highlight w:val="none"/>
          <w:vertAlign w:val="subscript"/>
          <w:lang w:val="en-US" w:eastAsia="zh-CN"/>
        </w:rPr>
        <w:t>2</w:t>
      </w:r>
      <w:r>
        <w:rPr>
          <w:rFonts w:hint="eastAsia" w:ascii="Times New Roman" w:hAnsi="Times New Roman" w:cs="Times New Roman"/>
          <w:sz w:val="24"/>
          <w:szCs w:val="24"/>
          <w:highlight w:val="none"/>
          <w:lang w:val="en-US" w:eastAsia="zh-CN"/>
        </w:rPr>
        <w:t>=5,955) were excluded, leaving 10,352 participants (n</w:t>
      </w:r>
      <w:r>
        <w:rPr>
          <w:rFonts w:hint="eastAsia" w:ascii="Times New Roman" w:hAnsi="Times New Roman" w:cs="Times New Roman"/>
          <w:sz w:val="24"/>
          <w:szCs w:val="24"/>
          <w:highlight w:val="none"/>
          <w:vertAlign w:val="subscript"/>
          <w:lang w:val="en-US" w:eastAsia="zh-CN"/>
        </w:rPr>
        <w:t>2</w:t>
      </w:r>
      <w:r>
        <w:rPr>
          <w:rFonts w:hint="eastAsia" w:ascii="Times New Roman" w:hAnsi="Times New Roman" w:cs="Times New Roman"/>
          <w:sz w:val="24"/>
          <w:szCs w:val="24"/>
          <w:highlight w:val="none"/>
          <w:lang w:val="en-US" w:eastAsia="zh-CN"/>
        </w:rPr>
        <w:t>=19,338 EHRs). Additional exclusions for outliers or measurement intervals less than one month (n</w:t>
      </w:r>
      <w:r>
        <w:rPr>
          <w:rFonts w:hint="eastAsia" w:ascii="Times New Roman" w:hAnsi="Times New Roman" w:cs="Times New Roman"/>
          <w:sz w:val="24"/>
          <w:szCs w:val="24"/>
          <w:highlight w:val="none"/>
          <w:vertAlign w:val="subscript"/>
          <w:lang w:val="en-US" w:eastAsia="zh-CN"/>
        </w:rPr>
        <w:t>1</w:t>
      </w:r>
      <w:r>
        <w:rPr>
          <w:rFonts w:hint="eastAsia" w:ascii="Times New Roman" w:hAnsi="Times New Roman" w:cs="Times New Roman"/>
          <w:sz w:val="24"/>
          <w:szCs w:val="24"/>
          <w:highlight w:val="none"/>
          <w:lang w:val="en-US" w:eastAsia="zh-CN"/>
        </w:rPr>
        <w:t>=119, n</w:t>
      </w:r>
      <w:r>
        <w:rPr>
          <w:rFonts w:hint="eastAsia" w:ascii="Times New Roman" w:hAnsi="Times New Roman" w:cs="Times New Roman"/>
          <w:sz w:val="24"/>
          <w:szCs w:val="24"/>
          <w:highlight w:val="none"/>
          <w:vertAlign w:val="subscript"/>
          <w:lang w:val="en-US" w:eastAsia="zh-CN"/>
        </w:rPr>
        <w:t>2</w:t>
      </w:r>
      <w:r>
        <w:rPr>
          <w:rFonts w:hint="eastAsia" w:ascii="Times New Roman" w:hAnsi="Times New Roman" w:cs="Times New Roman"/>
          <w:sz w:val="24"/>
          <w:szCs w:val="24"/>
          <w:highlight w:val="none"/>
          <w:lang w:val="en-US" w:eastAsia="zh-CN"/>
        </w:rPr>
        <w:t>=2,069) yielded a final sample of n</w:t>
      </w:r>
      <w:r>
        <w:rPr>
          <w:rFonts w:hint="eastAsia" w:ascii="Times New Roman" w:hAnsi="Times New Roman" w:cs="Times New Roman"/>
          <w:sz w:val="24"/>
          <w:szCs w:val="24"/>
          <w:highlight w:val="none"/>
          <w:vertAlign w:val="subscript"/>
          <w:lang w:val="en-US" w:eastAsia="zh-CN"/>
        </w:rPr>
        <w:t>b</w:t>
      </w:r>
      <w:r>
        <w:rPr>
          <w:rFonts w:hint="eastAsia" w:ascii="Times New Roman" w:hAnsi="Times New Roman" w:cs="Times New Roman"/>
          <w:sz w:val="24"/>
          <w:szCs w:val="24"/>
          <w:highlight w:val="none"/>
          <w:lang w:val="en-US" w:eastAsia="zh-CN"/>
        </w:rPr>
        <w:t>=17,269 EHRs (n</w:t>
      </w:r>
      <w:r>
        <w:rPr>
          <w:rFonts w:hint="eastAsia" w:ascii="Times New Roman" w:hAnsi="Times New Roman" w:cs="Times New Roman"/>
          <w:sz w:val="24"/>
          <w:szCs w:val="24"/>
          <w:highlight w:val="none"/>
          <w:vertAlign w:val="subscript"/>
          <w:lang w:val="en-US" w:eastAsia="zh-CN"/>
        </w:rPr>
        <w:t>1</w:t>
      </w:r>
      <w:r>
        <w:rPr>
          <w:rFonts w:hint="eastAsia" w:ascii="Times New Roman" w:hAnsi="Times New Roman" w:cs="Times New Roman"/>
          <w:sz w:val="24"/>
          <w:szCs w:val="24"/>
          <w:highlight w:val="none"/>
          <w:lang w:val="en-US" w:eastAsia="zh-CN"/>
        </w:rPr>
        <w:t>= 10,233 children) for the growth charts study, from which height and weight measurements were subsequently used. (n</w:t>
      </w:r>
      <w:r>
        <w:rPr>
          <w:rFonts w:hint="eastAsia" w:ascii="Times New Roman" w:hAnsi="Times New Roman" w:cs="Times New Roman"/>
          <w:sz w:val="24"/>
          <w:szCs w:val="24"/>
          <w:highlight w:val="none"/>
          <w:vertAlign w:val="subscript"/>
          <w:lang w:val="en-US" w:eastAsia="zh-CN"/>
        </w:rPr>
        <w:t xml:space="preserve">1 </w:t>
      </w:r>
      <w:r>
        <w:rPr>
          <w:rFonts w:hint="eastAsia" w:ascii="Times New Roman" w:hAnsi="Times New Roman" w:cs="Times New Roman"/>
          <w:sz w:val="24"/>
          <w:szCs w:val="24"/>
          <w:highlight w:val="none"/>
          <w:lang w:val="en-US" w:eastAsia="zh-CN"/>
        </w:rPr>
        <w:t>represents the number of unique children; n</w:t>
      </w:r>
      <w:r>
        <w:rPr>
          <w:rFonts w:hint="eastAsia" w:ascii="Times New Roman" w:hAnsi="Times New Roman" w:cs="Times New Roman"/>
          <w:sz w:val="24"/>
          <w:szCs w:val="24"/>
          <w:highlight w:val="none"/>
          <w:vertAlign w:val="subscript"/>
          <w:lang w:val="en-US" w:eastAsia="zh-CN"/>
        </w:rPr>
        <w:t xml:space="preserve">2 </w:t>
      </w:r>
      <w:r>
        <w:rPr>
          <w:rFonts w:hint="eastAsia" w:ascii="Times New Roman" w:hAnsi="Times New Roman" w:cs="Times New Roman"/>
          <w:sz w:val="24"/>
          <w:szCs w:val="24"/>
          <w:highlight w:val="none"/>
          <w:lang w:val="en-US" w:eastAsia="zh-CN"/>
        </w:rPr>
        <w:t>represents the number of EHRs).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color w:val="000000"/>
          <w:sz w:val="22"/>
          <w:szCs w:val="22"/>
          <w:highlight w:val="none"/>
          <w:lang w:val="en-US" w:eastAsia="zh-CN"/>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drawing>
          <wp:inline distT="0" distB="0" distL="114300" distR="114300">
            <wp:extent cx="5499100" cy="7560310"/>
            <wp:effectExtent l="0" t="0" r="6350" b="2540"/>
            <wp:docPr id="6" name="图片 6" descr="未治疗组女性身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未治疗组女性身高"/>
                    <pic:cNvPicPr>
                      <a:picLocks noChangeAspect="1"/>
                    </pic:cNvPicPr>
                  </pic:nvPicPr>
                  <pic:blipFill>
                    <a:blip r:embed="rId6"/>
                    <a:stretch>
                      <a:fillRect/>
                    </a:stretch>
                  </pic:blipFill>
                  <pic:spPr>
                    <a:xfrm>
                      <a:off x="0" y="0"/>
                      <a:ext cx="5499100" cy="7560310"/>
                    </a:xfrm>
                    <a:prstGeom prst="rect">
                      <a:avLst/>
                    </a:prstGeom>
                  </pic:spPr>
                </pic:pic>
              </a:graphicData>
            </a:graphic>
          </wp:inline>
        </w:drawing>
      </w:r>
      <w:r>
        <w:rPr>
          <w:rFonts w:hint="default" w:ascii="Times New Roman" w:hAnsi="Times New Roman" w:cs="Times New Roman"/>
          <w:highlight w:val="none"/>
          <w:lang w:val="en-US" w:eastAsia="zh-CN"/>
        </w:rPr>
        <w:drawing>
          <wp:inline distT="0" distB="0" distL="114300" distR="114300">
            <wp:extent cx="5499100" cy="7560310"/>
            <wp:effectExtent l="0" t="0" r="6350" b="2540"/>
            <wp:docPr id="5" name="图片 5" descr="未治疗组女性体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治疗组女性体重"/>
                    <pic:cNvPicPr>
                      <a:picLocks noChangeAspect="1"/>
                    </pic:cNvPicPr>
                  </pic:nvPicPr>
                  <pic:blipFill>
                    <a:blip r:embed="rId7"/>
                    <a:stretch>
                      <a:fillRect/>
                    </a:stretch>
                  </pic:blipFill>
                  <pic:spPr>
                    <a:xfrm>
                      <a:off x="0" y="0"/>
                      <a:ext cx="5499100" cy="7560310"/>
                    </a:xfrm>
                    <a:prstGeom prst="rect">
                      <a:avLst/>
                    </a:prstGeom>
                  </pic:spPr>
                </pic:pic>
              </a:graphicData>
            </a:graphic>
          </wp:inline>
        </w:drawing>
      </w:r>
      <w:r>
        <w:rPr>
          <w:rFonts w:hint="default" w:ascii="Times New Roman" w:hAnsi="Times New Roman" w:cs="Times New Roman"/>
          <w:highlight w:val="none"/>
          <w:lang w:val="en-US" w:eastAsia="zh-CN"/>
        </w:rPr>
        <w:drawing>
          <wp:inline distT="0" distB="0" distL="114300" distR="114300">
            <wp:extent cx="5499100" cy="7560310"/>
            <wp:effectExtent l="0" t="0" r="6350" b="2540"/>
            <wp:docPr id="4" name="图片 4" descr="未治疗组女性B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治疗组女性BMI"/>
                    <pic:cNvPicPr>
                      <a:picLocks noChangeAspect="1"/>
                    </pic:cNvPicPr>
                  </pic:nvPicPr>
                  <pic:blipFill>
                    <a:blip r:embed="rId8"/>
                    <a:stretch>
                      <a:fillRect/>
                    </a:stretch>
                  </pic:blipFill>
                  <pic:spPr>
                    <a:xfrm>
                      <a:off x="0" y="0"/>
                      <a:ext cx="5499100" cy="75603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i w:val="0"/>
          <w:color w:val="000000"/>
          <w:sz w:val="22"/>
          <w:szCs w:val="22"/>
          <w:highlight w:val="none"/>
          <w:u w:val="none"/>
          <w:lang w:val="en-US" w:eastAsia="zh-CN"/>
        </w:rPr>
      </w:pPr>
      <w:r>
        <w:rPr>
          <w:rFonts w:hint="eastAsia" w:ascii="Times New Roman" w:hAnsi="Times New Roman" w:cs="Times New Roman"/>
          <w:b/>
          <w:bCs/>
          <w:sz w:val="24"/>
          <w:szCs w:val="24"/>
          <w:highlight w:val="none"/>
          <w:lang w:val="en-US" w:eastAsia="zh-CN"/>
        </w:rPr>
        <w:t>eFigure 2</w:t>
      </w:r>
      <w:r>
        <w:rPr>
          <w:rFonts w:hint="eastAsia" w:ascii="Times New Roman" w:hAnsi="Times New Roman" w:eastAsia="宋体" w:cs="Times New Roman"/>
          <w:b/>
          <w:bCs/>
          <w:i w:val="0"/>
          <w:color w:val="000000"/>
          <w:sz w:val="22"/>
          <w:szCs w:val="22"/>
          <w:highlight w:val="none"/>
          <w:u w:val="none"/>
          <w:lang w:val="en-US" w:eastAsia="zh-CN"/>
        </w:rPr>
        <w:t xml:space="preserve">. Age-specific growth charts in </w:t>
      </w:r>
      <w:r>
        <w:rPr>
          <w:rFonts w:hint="eastAsia" w:ascii="Times New Roman" w:hAnsi="Times New Roman" w:cs="Times New Roman"/>
          <w:b/>
          <w:bCs/>
          <w:highlight w:val="none"/>
          <w:lang w:val="en-US" w:eastAsia="zh-CN"/>
        </w:rPr>
        <w:t>non-hormone treated</w:t>
      </w:r>
      <w:r>
        <w:rPr>
          <w:rFonts w:hint="eastAsia" w:ascii="Times New Roman" w:hAnsi="Times New Roman" w:eastAsia="宋体" w:cs="Times New Roman"/>
          <w:b/>
          <w:bCs/>
          <w:i w:val="0"/>
          <w:color w:val="000000"/>
          <w:sz w:val="22"/>
          <w:szCs w:val="22"/>
          <w:highlight w:val="none"/>
          <w:u w:val="none"/>
          <w:lang w:val="en-US" w:eastAsia="zh-CN"/>
        </w:rPr>
        <w:t xml:space="preserve"> female children with precocious puberty.</w:t>
      </w:r>
      <w:r>
        <w:rPr>
          <w:rFonts w:hint="eastAsia" w:ascii="Times New Roman" w:hAnsi="Times New Roman" w:eastAsia="宋体" w:cs="Times New Roman"/>
          <w:b w:val="0"/>
          <w:i w:val="0"/>
          <w:color w:val="000000"/>
          <w:sz w:val="22"/>
          <w:szCs w:val="22"/>
          <w:highlight w:val="none"/>
          <w:u w:val="none"/>
          <w:lang w:val="en-US" w:eastAsia="zh-CN"/>
        </w:rPr>
        <w:t xml:space="preserve"> Growth charts display standard percentile lines (P3, P10, P25, P50, P75, P90, P97) for height (A), weight (B), and BMI (C).</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highlight w:val="none"/>
          <w:lang w:val="en-US" w:eastAsia="zh-CN"/>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highlight w:val="none"/>
        </w:rPr>
      </w:pPr>
      <w:r>
        <w:rPr>
          <w:highlight w:val="none"/>
        </w:rPr>
        <w:drawing>
          <wp:inline distT="0" distB="0" distL="114300" distR="114300">
            <wp:extent cx="5730875" cy="3186430"/>
            <wp:effectExtent l="0" t="0" r="3175" b="1397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9"/>
                    <a:stretch>
                      <a:fillRect/>
                    </a:stretch>
                  </pic:blipFill>
                  <pic:spPr>
                    <a:xfrm>
                      <a:off x="0" y="0"/>
                      <a:ext cx="5730875" cy="318643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b/>
          <w:bCs/>
          <w:sz w:val="24"/>
          <w:szCs w:val="24"/>
          <w:highlight w:val="none"/>
          <w:lang w:val="en-US" w:eastAsia="zh-CN"/>
        </w:rPr>
        <w:t>eFigure 3. HuggingFists low-code interface for llm-based data processing workflow.</w:t>
      </w:r>
      <w:r>
        <w:rPr>
          <w:rFonts w:hint="eastAsia" w:ascii="Times New Roman" w:hAnsi="Times New Roman" w:cs="Times New Roman"/>
          <w:sz w:val="24"/>
          <w:szCs w:val="24"/>
          <w:highlight w:val="none"/>
          <w:lang w:val="en-US" w:eastAsia="zh-CN"/>
        </w:rPr>
        <w:t xml:space="preserve"> This figure is the HuggingFists user interface, illustrating the low-code, visual data streaming tool used to implement the large language model (LLM) processing component of the workflow. The example process depicted involves: reading data (implied by the 'PostgreSQLReader' operator), processing the text (implied by the 'CommonPrompt' operator), making a call to the locally hosted LLM (implied by the 'OllamaGenerator' operator), and writing the results (implied by the 'PostgreSQLWriter' operator). This visual tool simplifies the integration and execution of LLM tasks for clinical researchers, offering an alternative to traditional programming approaches (e.g., Python API calls).</w:t>
      </w:r>
    </w:p>
    <w:p>
      <w:pPr>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br w:type="page"/>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both"/>
        <w:textAlignment w:val="auto"/>
        <w:rPr>
          <w:rFonts w:hint="default"/>
          <w:highlight w:val="none"/>
          <w:lang w:val="en-US" w:eastAsia="zh-CN"/>
        </w:rPr>
      </w:pPr>
      <w:r>
        <w:rPr>
          <w:rFonts w:hint="default"/>
          <w:highlight w:val="none"/>
          <w:lang w:val="en-US" w:eastAsia="zh-CN"/>
        </w:rPr>
        <w:drawing>
          <wp:inline distT="0" distB="0" distL="114300" distR="114300">
            <wp:extent cx="5728970" cy="6546850"/>
            <wp:effectExtent l="0" t="0" r="5080" b="6350"/>
            <wp:docPr id="3" name="图片 3" descr="Rplo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Rplot01"/>
                    <pic:cNvPicPr>
                      <a:picLocks noChangeAspect="1"/>
                    </pic:cNvPicPr>
                  </pic:nvPicPr>
                  <pic:blipFill>
                    <a:blip r:embed="rId10"/>
                    <a:stretch>
                      <a:fillRect/>
                    </a:stretch>
                  </pic:blipFill>
                  <pic:spPr>
                    <a:xfrm>
                      <a:off x="0" y="0"/>
                      <a:ext cx="5728970" cy="654685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e</w:t>
      </w:r>
      <w:r>
        <w:rPr>
          <w:rFonts w:hint="default" w:ascii="Times New Roman" w:hAnsi="Times New Roman" w:cs="Times New Roman"/>
          <w:b/>
          <w:bCs/>
          <w:sz w:val="24"/>
          <w:szCs w:val="24"/>
          <w:highlight w:val="none"/>
          <w:lang w:val="en-US" w:eastAsia="zh-CN"/>
        </w:rPr>
        <w:t xml:space="preserve">Figure </w:t>
      </w:r>
      <w:r>
        <w:rPr>
          <w:rFonts w:hint="eastAsia" w:ascii="Times New Roman" w:hAnsi="Times New Roman" w:cs="Times New Roman"/>
          <w:b/>
          <w:bCs/>
          <w:sz w:val="24"/>
          <w:szCs w:val="24"/>
          <w:highlight w:val="none"/>
          <w:lang w:val="en-US" w:eastAsia="zh-CN"/>
        </w:rPr>
        <w:t>4</w:t>
      </w:r>
      <w:r>
        <w:rPr>
          <w:rFonts w:hint="default" w:ascii="Times New Roman" w:hAnsi="Times New Roman" w:cs="Times New Roman"/>
          <w:b/>
          <w:bCs/>
          <w:sz w:val="24"/>
          <w:szCs w:val="24"/>
          <w:highlight w:val="none"/>
          <w:lang w:val="en-US" w:eastAsia="zh-CN"/>
        </w:rPr>
        <w:t>. Performance comparison of five large language models on precocious puberty risk factor information extraction from Chinese electronic health records.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 xml:space="preserve">(a) Overall performance of each model across four evaluation metrics (Accuracy, Precision, Recall, and F1-Score). GLM4:9B achieved the highest scores across all metrics, while the remaining models showed varying degrees of performance trade-offs, particularly between Precision and Recall. (b) F1-scores for each model across ten precocious puberty risk factors. GLM4:9B demonstrated consistently high F1-scores across all features, whereas Gemma2:9B and Llama3.1:8B exhibited notably lower performance on certain features, including Health </w:t>
      </w:r>
      <w:r>
        <w:rPr>
          <w:rFonts w:hint="eastAsia" w:ascii="Times New Roman" w:hAnsi="Times New Roman" w:cs="Times New Roman"/>
          <w:sz w:val="24"/>
          <w:szCs w:val="24"/>
          <w:highlight w:val="none"/>
          <w:lang w:val="en-US" w:eastAsia="zh-CN"/>
        </w:rPr>
        <w:t>s</w:t>
      </w:r>
      <w:r>
        <w:rPr>
          <w:rFonts w:hint="default" w:ascii="Times New Roman" w:hAnsi="Times New Roman" w:cs="Times New Roman"/>
          <w:sz w:val="24"/>
          <w:szCs w:val="24"/>
          <w:highlight w:val="none"/>
          <w:lang w:val="en-US" w:eastAsia="zh-CN"/>
        </w:rPr>
        <w:t xml:space="preserve">upplement </w:t>
      </w:r>
      <w:r>
        <w:rPr>
          <w:rFonts w:hint="eastAsia" w:ascii="Times New Roman" w:hAnsi="Times New Roman" w:cs="Times New Roman"/>
          <w:sz w:val="24"/>
          <w:szCs w:val="24"/>
          <w:highlight w:val="none"/>
          <w:lang w:val="en-US" w:eastAsia="zh-CN"/>
        </w:rPr>
        <w:t>u</w:t>
      </w:r>
      <w:r>
        <w:rPr>
          <w:rFonts w:hint="default" w:ascii="Times New Roman" w:hAnsi="Times New Roman" w:cs="Times New Roman"/>
          <w:sz w:val="24"/>
          <w:szCs w:val="24"/>
          <w:highlight w:val="none"/>
          <w:lang w:val="en-US" w:eastAsia="zh-CN"/>
        </w:rPr>
        <w:t xml:space="preserve">se and </w:t>
      </w:r>
      <w:r>
        <w:rPr>
          <w:rFonts w:hint="eastAsia" w:ascii="Times New Roman" w:hAnsi="Times New Roman" w:cs="Times New Roman"/>
          <w:sz w:val="24"/>
          <w:szCs w:val="24"/>
          <w:highlight w:val="none"/>
          <w:lang w:val="en-US" w:eastAsia="zh-CN"/>
        </w:rPr>
        <w:t>s</w:t>
      </w:r>
      <w:r>
        <w:rPr>
          <w:rFonts w:hint="default" w:ascii="Times New Roman" w:hAnsi="Times New Roman" w:cs="Times New Roman"/>
          <w:sz w:val="24"/>
          <w:szCs w:val="24"/>
          <w:highlight w:val="none"/>
          <w:lang w:val="en-US" w:eastAsia="zh-CN"/>
        </w:rPr>
        <w:t xml:space="preserve">leeping with </w:t>
      </w:r>
      <w:r>
        <w:rPr>
          <w:rFonts w:hint="eastAsia" w:ascii="Times New Roman" w:hAnsi="Times New Roman" w:cs="Times New Roman"/>
          <w:sz w:val="24"/>
          <w:szCs w:val="24"/>
          <w:highlight w:val="none"/>
          <w:lang w:val="en-US" w:eastAsia="zh-CN"/>
        </w:rPr>
        <w:t>l</w:t>
      </w:r>
      <w:r>
        <w:rPr>
          <w:rFonts w:hint="default" w:ascii="Times New Roman" w:hAnsi="Times New Roman" w:cs="Times New Roman"/>
          <w:sz w:val="24"/>
          <w:szCs w:val="24"/>
          <w:highlight w:val="none"/>
          <w:lang w:val="en-US" w:eastAsia="zh-CN"/>
        </w:rPr>
        <w:t xml:space="preserve">ights </w:t>
      </w:r>
      <w:r>
        <w:rPr>
          <w:rFonts w:hint="eastAsia" w:ascii="Times New Roman" w:hAnsi="Times New Roman" w:cs="Times New Roman"/>
          <w:sz w:val="24"/>
          <w:szCs w:val="24"/>
          <w:highlight w:val="none"/>
          <w:lang w:val="en-US" w:eastAsia="zh-CN"/>
        </w:rPr>
        <w:t>o</w:t>
      </w:r>
      <w:r>
        <w:rPr>
          <w:rFonts w:hint="default" w:ascii="Times New Roman" w:hAnsi="Times New Roman" w:cs="Times New Roman"/>
          <w:sz w:val="24"/>
          <w:szCs w:val="24"/>
          <w:highlight w:val="none"/>
          <w:lang w:val="en-US" w:eastAsia="zh-CN"/>
        </w:rPr>
        <w:t>n.</w:t>
      </w:r>
    </w:p>
    <w:sectPr>
      <w:footerReference r:id="rId3" w:type="default"/>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5NmMxZjRhZTQ0OTNiZDg2ZGVlMjYwMTQyYjc2M2IifQ=="/>
  </w:docVars>
  <w:rsids>
    <w:rsidRoot w:val="00172A27"/>
    <w:rsid w:val="038B4919"/>
    <w:rsid w:val="06047ECE"/>
    <w:rsid w:val="083245C7"/>
    <w:rsid w:val="084B0AD7"/>
    <w:rsid w:val="084F10C0"/>
    <w:rsid w:val="0A483653"/>
    <w:rsid w:val="0DF7000D"/>
    <w:rsid w:val="11881449"/>
    <w:rsid w:val="11D15636"/>
    <w:rsid w:val="186F6C45"/>
    <w:rsid w:val="1C6D7F9E"/>
    <w:rsid w:val="22710E44"/>
    <w:rsid w:val="23930114"/>
    <w:rsid w:val="2909482E"/>
    <w:rsid w:val="29246A1D"/>
    <w:rsid w:val="2B570CD7"/>
    <w:rsid w:val="2F1161DA"/>
    <w:rsid w:val="30520FBD"/>
    <w:rsid w:val="316936C4"/>
    <w:rsid w:val="340063A6"/>
    <w:rsid w:val="38C47D1A"/>
    <w:rsid w:val="3B0165AF"/>
    <w:rsid w:val="3CEF25F4"/>
    <w:rsid w:val="42EC7625"/>
    <w:rsid w:val="43E71B8B"/>
    <w:rsid w:val="441D3F63"/>
    <w:rsid w:val="45BB1621"/>
    <w:rsid w:val="4D271EB5"/>
    <w:rsid w:val="4DC37838"/>
    <w:rsid w:val="51B27BE7"/>
    <w:rsid w:val="561F1DE8"/>
    <w:rsid w:val="5AD655A9"/>
    <w:rsid w:val="5B125457"/>
    <w:rsid w:val="5E541E8E"/>
    <w:rsid w:val="61FE205D"/>
    <w:rsid w:val="67F146FE"/>
    <w:rsid w:val="6B2D4769"/>
    <w:rsid w:val="6CDA577B"/>
    <w:rsid w:val="72265E5B"/>
    <w:rsid w:val="776E4DD9"/>
    <w:rsid w:val="7D8F6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Subtitle"/>
    <w:basedOn w:val="1"/>
    <w:next w:val="1"/>
    <w:link w:val="9"/>
    <w:qFormat/>
    <w:uiPriority w:val="0"/>
    <w:pPr>
      <w:keepNext w:val="0"/>
      <w:keepLines w:val="0"/>
      <w:widowControl w:val="0"/>
      <w:suppressLineNumbers w:val="0"/>
      <w:spacing w:before="240" w:beforeAutospacing="0" w:after="60" w:afterAutospacing="0" w:line="312" w:lineRule="auto"/>
      <w:ind w:left="0" w:right="0"/>
      <w:jc w:val="center"/>
      <w:outlineLvl w:val="1"/>
    </w:pPr>
    <w:rPr>
      <w:rFonts w:hint="eastAsia" w:ascii="等线" w:hAnsi="等线" w:eastAsia="等线" w:cs="Times New Roman"/>
      <w:b/>
      <w:bCs/>
      <w:kern w:val="28"/>
      <w:sz w:val="32"/>
      <w:szCs w:val="32"/>
      <w:lang w:val="en-US" w:eastAsia="zh-CN" w:bidi="ar"/>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Bibliography"/>
    <w:basedOn w:val="1"/>
    <w:qFormat/>
    <w:uiPriority w:val="0"/>
    <w:pPr>
      <w:tabs>
        <w:tab w:val="left" w:pos="264"/>
      </w:tabs>
      <w:spacing w:after="240"/>
      <w:ind w:left="264" w:hanging="264"/>
    </w:pPr>
  </w:style>
  <w:style w:type="character" w:customStyle="1" w:styleId="9">
    <w:name w:val="副标题 字符"/>
    <w:basedOn w:val="7"/>
    <w:link w:val="4"/>
    <w:qFormat/>
    <w:uiPriority w:val="0"/>
    <w:rPr>
      <w:rFonts w:hint="eastAsia" w:ascii="等线" w:hAnsi="等线" w:eastAsia="等线" w:cs="等线"/>
      <w:b/>
      <w:bCs/>
      <w:kern w:val="28"/>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2025-04-15T00:26:00Z</dcterms:created>
  <dc:creator>64291</dc:creator>
  <cp:lastModifiedBy>周费翔</cp:lastModifiedBy>
  <dcterms:modified xsi:type="dcterms:W3CDTF">2026-05-16T04:32:15Z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925EFD91AB934AA3AC2FE59E7CA0D4CA_12</vt:lpwstr>
  </property>
  <property fmtid="{D5CDD505-2E9C-101B-9397-08002B2CF9AE}" pid="4" name="ZOTERO_PREF_1">
    <vt:lpwstr>&lt;data data-version="3" zotero-version="6.0.36"&gt;&lt;session id="rqc7vyg9"/&gt;&lt;style id="http://www.zotero.org/styles/jama" hasBibliography="1" bibliographyStyleHasBeenSet="1"/&gt;&lt;prefs&gt;&lt;pref name="fieldType" value="Field"/&gt;&lt;pref name="automaticJournalAbbreviation</vt:lpwstr>
  </property>
  <property fmtid="{D5CDD505-2E9C-101B-9397-08002B2CF9AE}" pid="5" name="ZOTERO_PREF_2">
    <vt:lpwstr>s" value="true"/&gt;&lt;/prefs&gt;&lt;/data&gt;</vt:lpwstr>
  </property>
</Properties>
</file>