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9CC9A" w14:textId="77777777" w:rsidR="00BC59F6" w:rsidRPr="00BC59F6" w:rsidRDefault="00BC59F6" w:rsidP="00BC59F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C59F6">
        <w:rPr>
          <w:rFonts w:ascii="Times New Roman" w:hAnsi="Times New Roman" w:cs="Times New Roman"/>
          <w:b/>
          <w:bCs/>
          <w:sz w:val="28"/>
          <w:szCs w:val="28"/>
        </w:rPr>
        <w:t>Bdh1-mediated βOHB metabolism ameliorates diabetic kidney disease by activation of Nrf2-mediated antioxidative pathway</w:t>
      </w:r>
    </w:p>
    <w:p w14:paraId="59CB164C" w14:textId="77777777" w:rsidR="00BC59F6" w:rsidRPr="00BC59F6" w:rsidRDefault="00BC59F6" w:rsidP="00BC59F6">
      <w:pPr>
        <w:rPr>
          <w:rFonts w:ascii="Times New Roman" w:hAnsi="Times New Roman" w:cs="Times New Roman"/>
          <w:sz w:val="28"/>
          <w:szCs w:val="28"/>
        </w:rPr>
      </w:pPr>
      <w:r w:rsidRPr="00BC59F6">
        <w:rPr>
          <w:rFonts w:ascii="Times New Roman" w:hAnsi="Times New Roman" w:cs="Times New Roman"/>
          <w:sz w:val="28"/>
          <w:szCs w:val="28"/>
        </w:rPr>
        <w:t>Sheng-rong Wan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Fang-yuan Teng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Wei Fan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BC59F6">
        <w:rPr>
          <w:rFonts w:ascii="Times New Roman" w:hAnsi="Times New Roman" w:cs="Times New Roman"/>
          <w:sz w:val="28"/>
          <w:szCs w:val="28"/>
        </w:rPr>
        <w:t>, Xin-yue Li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Bu-tuo Xu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Xiao-zhen Tan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Man Guo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Chen-lin Gao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</w:t>
      </w:r>
      <w:r w:rsidRPr="00BC59F6">
        <w:rPr>
          <w:rFonts w:ascii="Times New Roman" w:hAnsi="Times New Roman" w:cs="Times New Roman"/>
          <w:sz w:val="28"/>
          <w:szCs w:val="28"/>
        </w:rPr>
        <w:t>, Zong-zhe Jiang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1,2,3*</w:t>
      </w:r>
      <w:r w:rsidRPr="00BC59F6">
        <w:rPr>
          <w:rFonts w:ascii="Times New Roman" w:hAnsi="Times New Roman" w:cs="Times New Roman"/>
          <w:sz w:val="28"/>
          <w:szCs w:val="28"/>
        </w:rPr>
        <w:t>, Yong Xu</w:t>
      </w:r>
      <w:r w:rsidRPr="00BC59F6">
        <w:rPr>
          <w:rFonts w:ascii="Times New Roman" w:hAnsi="Times New Roman" w:cs="Times New Roman"/>
          <w:sz w:val="28"/>
          <w:szCs w:val="28"/>
          <w:vertAlign w:val="superscript"/>
        </w:rPr>
        <w:t>1,2,3*</w:t>
      </w:r>
    </w:p>
    <w:p w14:paraId="5F234018" w14:textId="77777777" w:rsidR="00BC59F6" w:rsidRPr="00BC59F6" w:rsidRDefault="00BC59F6" w:rsidP="00BC59F6">
      <w:pPr>
        <w:rPr>
          <w:rFonts w:ascii="Times New Roman" w:hAnsi="Times New Roman" w:cs="Times New Roman"/>
          <w:sz w:val="28"/>
          <w:szCs w:val="28"/>
        </w:rPr>
      </w:pPr>
      <w:r w:rsidRPr="00331D8E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BC59F6">
        <w:rPr>
          <w:rFonts w:ascii="Times New Roman" w:hAnsi="Times New Roman" w:cs="Times New Roman"/>
          <w:sz w:val="28"/>
          <w:szCs w:val="28"/>
        </w:rPr>
        <w:t>Department of Endocrinology and Metabolism, The Affiliated Hospital of Southwest Medical University, Luzhou, Sichuan, 646000, China.</w:t>
      </w:r>
    </w:p>
    <w:p w14:paraId="665EB46E" w14:textId="77777777" w:rsidR="00BC59F6" w:rsidRPr="00BC59F6" w:rsidRDefault="00BC59F6" w:rsidP="00BC59F6">
      <w:pPr>
        <w:rPr>
          <w:rFonts w:ascii="Times New Roman" w:hAnsi="Times New Roman" w:cs="Times New Roman"/>
          <w:sz w:val="28"/>
          <w:szCs w:val="28"/>
        </w:rPr>
      </w:pPr>
      <w:r w:rsidRPr="00331D8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C59F6">
        <w:rPr>
          <w:rFonts w:ascii="Times New Roman" w:hAnsi="Times New Roman" w:cs="Times New Roman"/>
          <w:sz w:val="28"/>
          <w:szCs w:val="28"/>
        </w:rPr>
        <w:t>Cardiovascular and Metabolic Diseases Key Laboratory of Luzhou, Sichuan, 646000, China.</w:t>
      </w:r>
    </w:p>
    <w:p w14:paraId="5A3CC663" w14:textId="77777777" w:rsidR="00BC59F6" w:rsidRPr="00BC59F6" w:rsidRDefault="00BC59F6" w:rsidP="00BC59F6">
      <w:pPr>
        <w:rPr>
          <w:rFonts w:ascii="Times New Roman" w:hAnsi="Times New Roman" w:cs="Times New Roman"/>
          <w:sz w:val="28"/>
          <w:szCs w:val="28"/>
        </w:rPr>
      </w:pPr>
      <w:r w:rsidRPr="00331D8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C59F6">
        <w:rPr>
          <w:rFonts w:ascii="Times New Roman" w:hAnsi="Times New Roman" w:cs="Times New Roman"/>
          <w:sz w:val="28"/>
          <w:szCs w:val="28"/>
        </w:rPr>
        <w:t>Sichuan Clinical Research Center for Nephropathy, Sichuan, 646000, China.</w:t>
      </w:r>
    </w:p>
    <w:p w14:paraId="6893A96A" w14:textId="77777777" w:rsidR="00BC59F6" w:rsidRPr="00BC59F6" w:rsidRDefault="00BC59F6" w:rsidP="00BC59F6">
      <w:pPr>
        <w:rPr>
          <w:rFonts w:ascii="Times New Roman" w:hAnsi="Times New Roman" w:cs="Times New Roman"/>
          <w:sz w:val="28"/>
          <w:szCs w:val="28"/>
        </w:rPr>
      </w:pPr>
      <w:r w:rsidRPr="00331D8E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BC59F6">
        <w:rPr>
          <w:rFonts w:ascii="Times New Roman" w:hAnsi="Times New Roman" w:cs="Times New Roman"/>
          <w:sz w:val="28"/>
          <w:szCs w:val="28"/>
        </w:rPr>
        <w:t>Department of Orthopaedics, The Affiliated Hospital of Southwest Medical University, Luzhou, Sichuan, 646000, China.</w:t>
      </w:r>
    </w:p>
    <w:p w14:paraId="64E4EBE0" w14:textId="03D74577" w:rsidR="00BC59F6" w:rsidRPr="00BC59F6" w:rsidRDefault="00BC59F6" w:rsidP="00BC59F6">
      <w:pPr>
        <w:rPr>
          <w:rFonts w:ascii="Times New Roman" w:hAnsi="Times New Roman" w:cs="Times New Roman"/>
          <w:sz w:val="28"/>
          <w:szCs w:val="28"/>
        </w:rPr>
      </w:pPr>
      <w:r w:rsidRPr="00331D8E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 w:rsidRPr="00BC59F6">
        <w:rPr>
          <w:rFonts w:ascii="Times New Roman" w:hAnsi="Times New Roman" w:cs="Times New Roman"/>
          <w:sz w:val="28"/>
          <w:szCs w:val="28"/>
        </w:rPr>
        <w:t>Corresponding author: Zong-zhe Jiang, Cardiovascular and Metabolic Diseases Key Laboratory of Luzhou, Sichuan, 646000, China. E-mail address: Jiangzongzhe555@126.com. &amp; Yong Xu, Department of Endocrinology and Metabolism, The Affiliated Hospital of Southwest Medical University, Luzhou, Sichuan, 646000, China. E-mail address: xywyll@swmu.edu.cn.</w:t>
      </w:r>
    </w:p>
    <w:p w14:paraId="7239B629" w14:textId="77777777" w:rsidR="00BC59F6" w:rsidRPr="00BC59F6" w:rsidRDefault="00BC59F6" w:rsidP="00CD2532">
      <w:pPr>
        <w:rPr>
          <w:rFonts w:ascii="Times New Roman" w:hAnsi="Times New Roman" w:cs="Times New Roman"/>
          <w:sz w:val="28"/>
          <w:szCs w:val="28"/>
        </w:rPr>
      </w:pPr>
    </w:p>
    <w:p w14:paraId="5ABE4405" w14:textId="77777777" w:rsidR="00BC59F6" w:rsidRPr="00BC59F6" w:rsidRDefault="00BC59F6" w:rsidP="00CD2532">
      <w:pPr>
        <w:rPr>
          <w:rFonts w:ascii="Times New Roman" w:hAnsi="Times New Roman" w:cs="Times New Roman"/>
          <w:sz w:val="28"/>
          <w:szCs w:val="28"/>
        </w:rPr>
      </w:pPr>
    </w:p>
    <w:p w14:paraId="7361E44C" w14:textId="7AA29028" w:rsidR="00BC59F6" w:rsidRDefault="00BC59F6" w:rsidP="00CD2532">
      <w:pPr>
        <w:rPr>
          <w:rFonts w:ascii="Times New Roman" w:hAnsi="Times New Roman" w:cs="Times New Roman"/>
          <w:sz w:val="28"/>
          <w:szCs w:val="28"/>
        </w:rPr>
      </w:pPr>
    </w:p>
    <w:p w14:paraId="6B872AEE" w14:textId="6E2DF020" w:rsidR="00CD2532" w:rsidRDefault="00CD2532" w:rsidP="00CD253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2C6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DD65A4" w:rsidRPr="00DD65A4">
        <w:rPr>
          <w:rFonts w:ascii="Times New Roman" w:hAnsi="Times New Roman" w:cs="Times New Roman"/>
          <w:b/>
          <w:bCs/>
          <w:sz w:val="24"/>
          <w:szCs w:val="24"/>
        </w:rPr>
        <w:t>materials</w:t>
      </w:r>
    </w:p>
    <w:p w14:paraId="3ABFD904" w14:textId="77777777" w:rsidR="00CD2532" w:rsidRPr="00CD2532" w:rsidRDefault="00CD2532" w:rsidP="00CD2532">
      <w:pPr>
        <w:rPr>
          <w:rFonts w:ascii="Times New Roman" w:hAnsi="Times New Roman" w:cs="Times New Roman"/>
          <w:sz w:val="28"/>
          <w:szCs w:val="28"/>
        </w:rPr>
      </w:pPr>
    </w:p>
    <w:p w14:paraId="3B86DEBA" w14:textId="77777777" w:rsidR="00CD2532" w:rsidRPr="00862C66" w:rsidRDefault="00CD2532" w:rsidP="00CD2532">
      <w:pPr>
        <w:rPr>
          <w:rFonts w:ascii="Times New Roman" w:eastAsia="等线" w:hAnsi="Times New Roman" w:cs="Times New Roman"/>
          <w:i/>
          <w:iCs/>
          <w:sz w:val="24"/>
          <w:szCs w:val="24"/>
        </w:rPr>
      </w:pPr>
      <w:r w:rsidRPr="00862C66">
        <w:rPr>
          <w:rFonts w:ascii="Times New Roman" w:eastAsia="等线" w:hAnsi="Times New Roman" w:cs="Times New Roman"/>
          <w:i/>
          <w:iCs/>
          <w:sz w:val="24"/>
          <w:szCs w:val="24"/>
        </w:rPr>
        <w:t>Table S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>1</w:t>
      </w:r>
      <w:r w:rsidRPr="00862C66">
        <w:rPr>
          <w:rFonts w:ascii="Times New Roman" w:eastAsia="等线" w:hAnsi="Times New Roman" w:cs="Times New Roman"/>
          <w:i/>
          <w:iCs/>
          <w:sz w:val="24"/>
          <w:szCs w:val="24"/>
        </w:rPr>
        <w:t>.</w:t>
      </w:r>
      <w:r w:rsidRPr="00862C66">
        <w:rPr>
          <w:rFonts w:ascii="Times New Roman" w:eastAsia="等线" w:hAnsi="Times New Roman" w:cs="Times New Roman"/>
          <w:i/>
          <w:iCs/>
          <w:color w:val="000000"/>
          <w:sz w:val="13"/>
          <w:szCs w:val="13"/>
        </w:rPr>
        <w:t xml:space="preserve"> </w:t>
      </w:r>
      <w:r w:rsidRPr="00862C66">
        <w:rPr>
          <w:rFonts w:ascii="Times New Roman" w:eastAsia="等线" w:hAnsi="Times New Roman" w:cs="Times New Roman"/>
          <w:i/>
          <w:iCs/>
          <w:sz w:val="24"/>
          <w:szCs w:val="24"/>
        </w:rPr>
        <w:t>List of primers used in the present study.</w:t>
      </w:r>
    </w:p>
    <w:tbl>
      <w:tblPr>
        <w:tblStyle w:val="1"/>
        <w:tblW w:w="0" w:type="auto"/>
        <w:tblInd w:w="-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1231"/>
        <w:gridCol w:w="1067"/>
        <w:gridCol w:w="3795"/>
        <w:gridCol w:w="1360"/>
      </w:tblGrid>
      <w:tr w:rsidR="00CD2532" w:rsidRPr="00862C66" w14:paraId="523834C9" w14:textId="77777777" w:rsidTr="00E70A13">
        <w:trPr>
          <w:trHeight w:val="519"/>
        </w:trPr>
        <w:tc>
          <w:tcPr>
            <w:tcW w:w="0" w:type="auto"/>
          </w:tcPr>
          <w:p w14:paraId="401B5F8F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Species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2DD08E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NCBI Gene ID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9A6CF18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Gene name</w:t>
            </w:r>
          </w:p>
        </w:tc>
        <w:tc>
          <w:tcPr>
            <w:tcW w:w="3795" w:type="dxa"/>
            <w:tcBorders>
              <w:bottom w:val="single" w:sz="4" w:space="0" w:color="auto"/>
            </w:tcBorders>
          </w:tcPr>
          <w:p w14:paraId="0F63C122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Sequence (5' to 3')</w:t>
            </w: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14:paraId="00F5011C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Length of product (bp)</w:t>
            </w:r>
          </w:p>
        </w:tc>
      </w:tr>
      <w:tr w:rsidR="00CD2532" w:rsidRPr="00862C66" w14:paraId="55A385DB" w14:textId="77777777" w:rsidTr="00E70A13">
        <w:tc>
          <w:tcPr>
            <w:tcW w:w="0" w:type="auto"/>
            <w:vMerge w:val="restart"/>
          </w:tcPr>
          <w:p w14:paraId="514DE3E7" w14:textId="765955DC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M</w:t>
            </w:r>
            <w:r w:rsidR="00AD320B">
              <w:rPr>
                <w:rFonts w:ascii="Times New Roman" w:eastAsia="等线" w:hAnsi="Times New Roman" w:cs="Times New Roman" w:hint="eastAsia"/>
                <w:sz w:val="21"/>
                <w:szCs w:val="21"/>
              </w:rPr>
              <w:t>us</w:t>
            </w:r>
          </w:p>
          <w:p w14:paraId="342CF4E7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3BBC0F8B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71911</w:t>
            </w:r>
          </w:p>
        </w:tc>
        <w:tc>
          <w:tcPr>
            <w:tcW w:w="0" w:type="auto"/>
            <w:tcBorders>
              <w:bottom w:val="nil"/>
            </w:tcBorders>
          </w:tcPr>
          <w:p w14:paraId="38AD283B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Bdh1</w:t>
            </w:r>
          </w:p>
        </w:tc>
        <w:tc>
          <w:tcPr>
            <w:tcW w:w="3795" w:type="dxa"/>
            <w:tcBorders>
              <w:bottom w:val="nil"/>
            </w:tcBorders>
          </w:tcPr>
          <w:p w14:paraId="65ED2604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CGGCTAGTGGCAAAGCTATC</w:t>
            </w:r>
          </w:p>
          <w:p w14:paraId="55D84556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</w:t>
            </w:r>
            <w:r w:rsidRPr="00862C66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GTTGCAGACATTGAGCTGGA</w:t>
            </w:r>
          </w:p>
        </w:tc>
        <w:tc>
          <w:tcPr>
            <w:tcW w:w="1360" w:type="dxa"/>
            <w:tcBorders>
              <w:bottom w:val="nil"/>
            </w:tcBorders>
          </w:tcPr>
          <w:p w14:paraId="64E8E4EF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194</w:t>
            </w:r>
          </w:p>
        </w:tc>
      </w:tr>
      <w:tr w:rsidR="00CD2532" w:rsidRPr="00862C66" w14:paraId="133E078B" w14:textId="77777777" w:rsidTr="00E70A13">
        <w:tc>
          <w:tcPr>
            <w:tcW w:w="0" w:type="auto"/>
            <w:vMerge/>
          </w:tcPr>
          <w:p w14:paraId="7D530503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F437DA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67041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0F9876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Oxct1</w:t>
            </w: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6958C0DB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CATAAGGGGTGTGTCTGCTACT</w:t>
            </w:r>
          </w:p>
          <w:p w14:paraId="0CEB712C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 GCAAGGTTGCACCATTAGGAAT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14:paraId="3F614FC5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106</w:t>
            </w:r>
          </w:p>
        </w:tc>
      </w:tr>
      <w:tr w:rsidR="00CD2532" w:rsidRPr="00862C66" w14:paraId="6DD4D616" w14:textId="77777777" w:rsidTr="00E70A13">
        <w:tc>
          <w:tcPr>
            <w:tcW w:w="0" w:type="auto"/>
            <w:vMerge/>
          </w:tcPr>
          <w:p w14:paraId="4DB42434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DDCE63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110446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436A3A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Acat1</w:t>
            </w: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4F4F3119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CAGGAAGTAAGATGCCTGGAAC</w:t>
            </w:r>
          </w:p>
          <w:p w14:paraId="2C1B79DB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 TTCACCCCCTTGGATGACATT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14:paraId="351E7E02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228</w:t>
            </w:r>
          </w:p>
        </w:tc>
      </w:tr>
      <w:tr w:rsidR="00CD2532" w:rsidRPr="00862C66" w14:paraId="2D5640AF" w14:textId="77777777" w:rsidTr="00E70A13">
        <w:tc>
          <w:tcPr>
            <w:tcW w:w="0" w:type="auto"/>
            <w:vMerge/>
          </w:tcPr>
          <w:p w14:paraId="1925EF26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5440AC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208715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41E558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Hmgcs1</w:t>
            </w: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0108392A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AACTGGTGCAGAAATCTCTAGC</w:t>
            </w:r>
          </w:p>
          <w:p w14:paraId="3385ABB8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 GGTTGAATAGCTCAGAACTAGCC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14:paraId="2A1972CF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180</w:t>
            </w:r>
          </w:p>
        </w:tc>
      </w:tr>
      <w:tr w:rsidR="00CD2532" w:rsidRPr="00862C66" w14:paraId="5CEA049D" w14:textId="77777777" w:rsidTr="00E70A13">
        <w:tc>
          <w:tcPr>
            <w:tcW w:w="0" w:type="auto"/>
            <w:vMerge/>
          </w:tcPr>
          <w:p w14:paraId="60FC54B9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B4B28EB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</w:rPr>
              <w:t>11461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D6D8A27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color w:val="FF0000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</w:rPr>
              <w:t>β-Actin</w:t>
            </w:r>
          </w:p>
        </w:tc>
        <w:tc>
          <w:tcPr>
            <w:tcW w:w="3795" w:type="dxa"/>
            <w:tcBorders>
              <w:top w:val="nil"/>
              <w:bottom w:val="single" w:sz="4" w:space="0" w:color="auto"/>
            </w:tcBorders>
          </w:tcPr>
          <w:p w14:paraId="0E59B849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ACCTCTATGCCAACACAGTG</w:t>
            </w:r>
          </w:p>
          <w:p w14:paraId="22FF9240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 GGACTCATCGTACTCCTGCT</w:t>
            </w: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</w:tcPr>
          <w:p w14:paraId="419A70E6" w14:textId="77777777" w:rsidR="00CD2532" w:rsidRPr="00862C66" w:rsidRDefault="00CD2532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221</w:t>
            </w:r>
          </w:p>
        </w:tc>
      </w:tr>
      <w:tr w:rsidR="00C9530C" w:rsidRPr="00862C66" w14:paraId="2AB28163" w14:textId="77777777" w:rsidTr="00DB7DDA">
        <w:tc>
          <w:tcPr>
            <w:tcW w:w="0" w:type="auto"/>
            <w:vMerge w:val="restart"/>
          </w:tcPr>
          <w:p w14:paraId="18BFEBCE" w14:textId="7B376A25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H</w:t>
            </w:r>
            <w:r>
              <w:rPr>
                <w:rFonts w:ascii="Times New Roman" w:eastAsia="等线" w:hAnsi="Times New Roman" w:cs="Times New Roman" w:hint="eastAsia"/>
                <w:sz w:val="21"/>
                <w:szCs w:val="21"/>
              </w:rPr>
              <w:t>omo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C5FF7A" w14:textId="560B8081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622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E6A34A" w14:textId="124DC961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Bdh1</w:t>
            </w:r>
          </w:p>
        </w:tc>
        <w:tc>
          <w:tcPr>
            <w:tcW w:w="3795" w:type="dxa"/>
            <w:tcBorders>
              <w:top w:val="nil"/>
              <w:bottom w:val="nil"/>
            </w:tcBorders>
          </w:tcPr>
          <w:p w14:paraId="4D335306" w14:textId="77777777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GACAGCCTAAACAGTGACCGA</w:t>
            </w:r>
          </w:p>
          <w:p w14:paraId="7BD8A87B" w14:textId="4504DD47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 GAGCGGACAATCTCCACCA</w:t>
            </w:r>
          </w:p>
        </w:tc>
        <w:tc>
          <w:tcPr>
            <w:tcW w:w="1360" w:type="dxa"/>
            <w:tcBorders>
              <w:top w:val="nil"/>
              <w:bottom w:val="nil"/>
            </w:tcBorders>
          </w:tcPr>
          <w:p w14:paraId="41C481C0" w14:textId="66A9CD4C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89</w:t>
            </w:r>
          </w:p>
        </w:tc>
      </w:tr>
      <w:tr w:rsidR="00C9530C" w:rsidRPr="00862C66" w14:paraId="2D77F99D" w14:textId="77777777" w:rsidTr="00DB7DDA">
        <w:tc>
          <w:tcPr>
            <w:tcW w:w="0" w:type="auto"/>
            <w:vMerge/>
          </w:tcPr>
          <w:p w14:paraId="1D1A7641" w14:textId="77777777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B375370" w14:textId="1B35DB04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</w:rPr>
              <w:t>60</w:t>
            </w:r>
          </w:p>
        </w:tc>
        <w:tc>
          <w:tcPr>
            <w:tcW w:w="0" w:type="auto"/>
            <w:tcBorders>
              <w:top w:val="nil"/>
            </w:tcBorders>
          </w:tcPr>
          <w:p w14:paraId="3488AF87" w14:textId="7C1FEC56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</w:rPr>
              <w:t>β-Actin</w:t>
            </w:r>
          </w:p>
        </w:tc>
        <w:tc>
          <w:tcPr>
            <w:tcW w:w="3795" w:type="dxa"/>
            <w:tcBorders>
              <w:top w:val="nil"/>
            </w:tcBorders>
          </w:tcPr>
          <w:p w14:paraId="6FBA8ECF" w14:textId="77777777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F: CATGTACGTTGCTATCCAGGC</w:t>
            </w:r>
          </w:p>
          <w:p w14:paraId="174AEAD0" w14:textId="630586DF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sz w:val="21"/>
                <w:szCs w:val="21"/>
              </w:rPr>
              <w:t>R: CTCCTTAATGTCACGCACGAT</w:t>
            </w:r>
          </w:p>
        </w:tc>
        <w:tc>
          <w:tcPr>
            <w:tcW w:w="1360" w:type="dxa"/>
            <w:tcBorders>
              <w:top w:val="nil"/>
            </w:tcBorders>
          </w:tcPr>
          <w:p w14:paraId="301EED07" w14:textId="6613F399" w:rsidR="00C9530C" w:rsidRPr="00862C66" w:rsidRDefault="00C9530C" w:rsidP="00E70A13">
            <w:pPr>
              <w:widowControl/>
              <w:rPr>
                <w:rFonts w:ascii="Times New Roman" w:eastAsia="等线" w:hAnsi="Times New Roman" w:cs="Times New Roman"/>
                <w:sz w:val="21"/>
                <w:szCs w:val="21"/>
              </w:rPr>
            </w:pPr>
            <w:r w:rsidRPr="00862C66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</w:rPr>
              <w:t>250</w:t>
            </w:r>
          </w:p>
        </w:tc>
      </w:tr>
    </w:tbl>
    <w:p w14:paraId="0EA15ECC" w14:textId="45FACD07" w:rsidR="001B6541" w:rsidRPr="0022065B" w:rsidRDefault="001B65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5C8776DD" wp14:editId="33427267">
            <wp:simplePos x="0" y="0"/>
            <wp:positionH relativeFrom="margin">
              <wp:align>right</wp:align>
            </wp:positionH>
            <wp:positionV relativeFrom="paragraph">
              <wp:posOffset>882798</wp:posOffset>
            </wp:positionV>
            <wp:extent cx="5274310" cy="6446520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4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65A4">
        <w:rPr>
          <w:rFonts w:ascii="Times New Roman" w:hAnsi="Times New Roman" w:cs="Times New Roman" w:hint="eastAsia"/>
          <w:sz w:val="28"/>
          <w:szCs w:val="28"/>
        </w:rPr>
        <w:t>F</w:t>
      </w:r>
      <w:r w:rsidR="00DD65A4">
        <w:rPr>
          <w:rFonts w:ascii="Times New Roman" w:hAnsi="Times New Roman" w:cs="Times New Roman"/>
          <w:sz w:val="28"/>
          <w:szCs w:val="28"/>
        </w:rPr>
        <w:t xml:space="preserve">igure S1. </w:t>
      </w:r>
      <w:r w:rsidR="00DD65A4" w:rsidRPr="00DD65A4">
        <w:rPr>
          <w:rFonts w:ascii="Times New Roman" w:hAnsi="Times New Roman" w:cs="Times New Roman"/>
          <w:sz w:val="28"/>
          <w:szCs w:val="28"/>
        </w:rPr>
        <w:t>Body weight and fasted blood glucose of mice with indicated treatment.</w:t>
      </w:r>
    </w:p>
    <w:sectPr w:rsidR="001B6541" w:rsidRPr="00220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B5FDC" w14:textId="77777777" w:rsidR="00A5296B" w:rsidRDefault="00A5296B" w:rsidP="00C9530C">
      <w:r>
        <w:separator/>
      </w:r>
    </w:p>
  </w:endnote>
  <w:endnote w:type="continuationSeparator" w:id="0">
    <w:p w14:paraId="60D18C45" w14:textId="77777777" w:rsidR="00A5296B" w:rsidRDefault="00A5296B" w:rsidP="00C95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1C238" w14:textId="77777777" w:rsidR="00A5296B" w:rsidRDefault="00A5296B" w:rsidP="00C9530C">
      <w:r>
        <w:separator/>
      </w:r>
    </w:p>
  </w:footnote>
  <w:footnote w:type="continuationSeparator" w:id="0">
    <w:p w14:paraId="47690FD9" w14:textId="77777777" w:rsidR="00A5296B" w:rsidRDefault="00A5296B" w:rsidP="00C95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65B"/>
    <w:rsid w:val="001B6541"/>
    <w:rsid w:val="0022065B"/>
    <w:rsid w:val="00331D8E"/>
    <w:rsid w:val="0047198E"/>
    <w:rsid w:val="00701DDC"/>
    <w:rsid w:val="00A42C0E"/>
    <w:rsid w:val="00A5296B"/>
    <w:rsid w:val="00A73907"/>
    <w:rsid w:val="00AD320B"/>
    <w:rsid w:val="00B0200E"/>
    <w:rsid w:val="00BC59F6"/>
    <w:rsid w:val="00C40236"/>
    <w:rsid w:val="00C9530C"/>
    <w:rsid w:val="00CD2532"/>
    <w:rsid w:val="00DD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1BDC1"/>
  <w15:chartTrackingRefBased/>
  <w15:docId w15:val="{52341334-0585-4A76-876E-A0B372804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qFormat/>
    <w:rsid w:val="00CD253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CD25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5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530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5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53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shengrong</dc:creator>
  <cp:keywords/>
  <dc:description/>
  <cp:lastModifiedBy>wan shengrong</cp:lastModifiedBy>
  <cp:revision>7</cp:revision>
  <dcterms:created xsi:type="dcterms:W3CDTF">2021-05-31T10:39:00Z</dcterms:created>
  <dcterms:modified xsi:type="dcterms:W3CDTF">2021-10-04T11:36:00Z</dcterms:modified>
</cp:coreProperties>
</file>