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D9B97" w14:textId="77777777" w:rsidR="009A4A66" w:rsidRPr="009A4A66" w:rsidRDefault="009A4A66" w:rsidP="009A4A66">
      <w:pPr>
        <w:spacing w:line="240" w:lineRule="auto"/>
        <w:rPr>
          <w:rFonts w:cs="Arial"/>
          <w:sz w:val="22"/>
        </w:rPr>
      </w:pPr>
      <w:r w:rsidRPr="009A4A66">
        <w:rPr>
          <w:rFonts w:cs="Arial"/>
          <w:b/>
          <w:bCs/>
          <w:sz w:val="22"/>
        </w:rPr>
        <w:t>Title:</w:t>
      </w:r>
      <w:r w:rsidRPr="009A4A66">
        <w:rPr>
          <w:rFonts w:cs="Arial"/>
          <w:sz w:val="22"/>
        </w:rPr>
        <w:t xml:space="preserve"> PEG-associated efficacy loss in lipid nanoparticles persists across formulation modifications for mRNA delivery</w:t>
      </w:r>
    </w:p>
    <w:p w14:paraId="0576BEE9" w14:textId="77777777" w:rsidR="009A4A66" w:rsidRPr="009A4A66" w:rsidRDefault="009A4A66" w:rsidP="009A4A66">
      <w:pPr>
        <w:spacing w:line="240" w:lineRule="auto"/>
        <w:rPr>
          <w:rFonts w:cs="Arial"/>
          <w:b/>
          <w:bCs/>
          <w:sz w:val="22"/>
        </w:rPr>
      </w:pPr>
    </w:p>
    <w:p w14:paraId="378695F6" w14:textId="0E922FC8" w:rsidR="009A4A66" w:rsidRPr="009A4A66" w:rsidRDefault="009A4A66" w:rsidP="009A4A66">
      <w:pPr>
        <w:spacing w:line="240" w:lineRule="auto"/>
        <w:rPr>
          <w:rFonts w:cs="Arial"/>
          <w:sz w:val="22"/>
        </w:rPr>
      </w:pPr>
      <w:r w:rsidRPr="009A4A66">
        <w:rPr>
          <w:rFonts w:cs="Arial"/>
          <w:b/>
          <w:bCs/>
          <w:sz w:val="22"/>
        </w:rPr>
        <w:t>Author Line:</w:t>
      </w:r>
      <w:r w:rsidRPr="009A4A66">
        <w:rPr>
          <w:rFonts w:cs="Arial"/>
          <w:sz w:val="22"/>
        </w:rPr>
        <w:t xml:space="preserve"> Mariah L. Arral</w:t>
      </w:r>
      <w:r w:rsidRPr="009A4A66">
        <w:rPr>
          <w:rFonts w:cs="Arial"/>
          <w:sz w:val="22"/>
          <w:vertAlign w:val="superscript"/>
        </w:rPr>
        <w:t>1</w:t>
      </w:r>
      <w:r w:rsidRPr="009A4A66">
        <w:rPr>
          <w:rFonts w:cs="Arial"/>
          <w:sz w:val="22"/>
        </w:rPr>
        <w:t>, Namit Chaudhary</w:t>
      </w:r>
      <w:r w:rsidRPr="009A4A66">
        <w:rPr>
          <w:rFonts w:cs="Arial"/>
          <w:sz w:val="22"/>
          <w:vertAlign w:val="superscript"/>
        </w:rPr>
        <w:t>1</w:t>
      </w:r>
      <w:r w:rsidRPr="009A4A66">
        <w:rPr>
          <w:rFonts w:cs="Arial"/>
          <w:sz w:val="22"/>
        </w:rPr>
        <w:t>, Katherine C. Fein</w:t>
      </w:r>
      <w:r w:rsidRPr="009A4A66">
        <w:rPr>
          <w:rFonts w:cs="Arial"/>
          <w:sz w:val="22"/>
          <w:vertAlign w:val="superscript"/>
        </w:rPr>
        <w:t>1</w:t>
      </w:r>
      <w:r w:rsidRPr="009A4A66">
        <w:rPr>
          <w:rFonts w:cs="Arial"/>
          <w:sz w:val="22"/>
        </w:rPr>
        <w:t>, Alexandra N. Newby</w:t>
      </w:r>
      <w:r w:rsidRPr="009A4A66">
        <w:rPr>
          <w:rFonts w:cs="Arial"/>
          <w:sz w:val="22"/>
          <w:vertAlign w:val="superscript"/>
        </w:rPr>
        <w:t>1</w:t>
      </w:r>
      <w:r w:rsidRPr="009A4A66">
        <w:rPr>
          <w:rFonts w:cs="Arial"/>
          <w:sz w:val="22"/>
        </w:rPr>
        <w:t xml:space="preserve">, </w:t>
      </w:r>
      <w:proofErr w:type="spellStart"/>
      <w:r w:rsidRPr="009A4A66">
        <w:rPr>
          <w:rFonts w:cs="Arial"/>
          <w:sz w:val="22"/>
        </w:rPr>
        <w:t>Saigopalakrishna</w:t>
      </w:r>
      <w:proofErr w:type="spellEnd"/>
      <w:r w:rsidRPr="009A4A66">
        <w:rPr>
          <w:rFonts w:cs="Arial"/>
          <w:sz w:val="22"/>
        </w:rPr>
        <w:t xml:space="preserve"> S. Yerneni</w:t>
      </w:r>
      <w:r w:rsidRPr="009A4A66">
        <w:rPr>
          <w:rFonts w:cs="Arial"/>
          <w:sz w:val="22"/>
          <w:vertAlign w:val="superscript"/>
        </w:rPr>
        <w:t>1</w:t>
      </w:r>
      <w:r w:rsidRPr="009A4A66">
        <w:rPr>
          <w:rFonts w:cs="Arial"/>
          <w:sz w:val="22"/>
        </w:rPr>
        <w:t>, Jilian R. Melamed</w:t>
      </w:r>
      <w:r w:rsidRPr="009A4A66">
        <w:rPr>
          <w:rFonts w:cs="Arial"/>
          <w:sz w:val="22"/>
          <w:vertAlign w:val="superscript"/>
        </w:rPr>
        <w:t>1</w:t>
      </w:r>
      <w:r w:rsidRPr="009A4A66">
        <w:rPr>
          <w:rFonts w:cs="Arial"/>
          <w:sz w:val="22"/>
        </w:rPr>
        <w:t>, Samuel T. LoPresti</w:t>
      </w:r>
      <w:r w:rsidRPr="009A4A66">
        <w:rPr>
          <w:rFonts w:cs="Arial"/>
          <w:sz w:val="22"/>
          <w:vertAlign w:val="superscript"/>
        </w:rPr>
        <w:t>1</w:t>
      </w:r>
      <w:r w:rsidRPr="009A4A66">
        <w:rPr>
          <w:rFonts w:cs="Arial"/>
          <w:sz w:val="22"/>
        </w:rPr>
        <w:t xml:space="preserve">, Daria </w:t>
      </w:r>
      <w:r w:rsidR="001C406A">
        <w:rPr>
          <w:rFonts w:cs="Arial"/>
          <w:sz w:val="22"/>
        </w:rPr>
        <w:t xml:space="preserve">M. </w:t>
      </w:r>
      <w:r w:rsidRPr="009A4A66">
        <w:rPr>
          <w:rFonts w:cs="Arial"/>
          <w:sz w:val="22"/>
        </w:rPr>
        <w:t>Strelkova Petersen</w:t>
      </w:r>
      <w:r w:rsidRPr="009A4A66">
        <w:rPr>
          <w:rFonts w:cs="Arial"/>
          <w:sz w:val="22"/>
          <w:vertAlign w:val="superscript"/>
        </w:rPr>
        <w:t>2</w:t>
      </w:r>
      <w:r w:rsidRPr="009A4A66">
        <w:rPr>
          <w:rFonts w:cs="Arial"/>
          <w:sz w:val="22"/>
        </w:rPr>
        <w:t>, Kathryn A. Whitehead</w:t>
      </w:r>
      <w:r w:rsidRPr="009A4A66">
        <w:rPr>
          <w:rFonts w:cs="Arial"/>
          <w:sz w:val="22"/>
          <w:vertAlign w:val="superscript"/>
        </w:rPr>
        <w:t>1,2</w:t>
      </w:r>
      <w:r w:rsidRPr="009A4A66">
        <w:rPr>
          <w:rFonts w:cs="Arial"/>
          <w:sz w:val="22"/>
        </w:rPr>
        <w:t>*</w:t>
      </w:r>
    </w:p>
    <w:p w14:paraId="4133C360" w14:textId="77777777" w:rsidR="009A4A66" w:rsidRPr="009A4A66" w:rsidRDefault="009A4A66" w:rsidP="009A4A66">
      <w:pPr>
        <w:spacing w:line="240" w:lineRule="auto"/>
        <w:rPr>
          <w:rFonts w:cs="Arial"/>
          <w:sz w:val="22"/>
        </w:rPr>
      </w:pPr>
    </w:p>
    <w:p w14:paraId="79DB1EE0" w14:textId="77777777" w:rsidR="009A4A66" w:rsidRPr="009A4A66" w:rsidRDefault="009A4A66" w:rsidP="009A4A66">
      <w:pPr>
        <w:spacing w:line="240" w:lineRule="auto"/>
        <w:rPr>
          <w:rFonts w:cs="Arial"/>
          <w:sz w:val="22"/>
        </w:rPr>
      </w:pPr>
      <w:r w:rsidRPr="009A4A66">
        <w:rPr>
          <w:rFonts w:cs="Arial"/>
          <w:sz w:val="22"/>
          <w:vertAlign w:val="superscript"/>
        </w:rPr>
        <w:t>1</w:t>
      </w:r>
      <w:r w:rsidRPr="009A4A66">
        <w:rPr>
          <w:rFonts w:cs="Arial"/>
          <w:sz w:val="22"/>
        </w:rPr>
        <w:t xml:space="preserve"> Department of Chemical Engineering, Carnegie Mellon University, Pittsburgh, PA, USA</w:t>
      </w:r>
    </w:p>
    <w:p w14:paraId="663C71E1" w14:textId="77777777" w:rsidR="009A4A66" w:rsidRPr="009A4A66" w:rsidRDefault="009A4A66" w:rsidP="009A4A66">
      <w:pPr>
        <w:spacing w:line="240" w:lineRule="auto"/>
        <w:rPr>
          <w:rFonts w:cs="Arial"/>
          <w:sz w:val="22"/>
        </w:rPr>
      </w:pPr>
      <w:r w:rsidRPr="009A4A66">
        <w:rPr>
          <w:rFonts w:cs="Arial"/>
          <w:sz w:val="22"/>
          <w:vertAlign w:val="superscript"/>
        </w:rPr>
        <w:t>2</w:t>
      </w:r>
      <w:r w:rsidRPr="009A4A66">
        <w:rPr>
          <w:rFonts w:cs="Arial"/>
          <w:sz w:val="22"/>
        </w:rPr>
        <w:t xml:space="preserve"> Department of Biomedical Engineering, Carnegie Mellon University, Pittsburgh, PA, USA</w:t>
      </w:r>
    </w:p>
    <w:p w14:paraId="0B617BEE" w14:textId="603892B8" w:rsidR="00117457" w:rsidRDefault="009A4A66" w:rsidP="009A4A66">
      <w:pPr>
        <w:spacing w:line="240" w:lineRule="auto"/>
        <w:rPr>
          <w:rFonts w:cs="Arial"/>
          <w:sz w:val="22"/>
        </w:rPr>
      </w:pPr>
      <w:r w:rsidRPr="009A4A66">
        <w:rPr>
          <w:rFonts w:cs="Arial"/>
          <w:sz w:val="22"/>
        </w:rPr>
        <w:t>* Corresponding author: kawhite@cmu.edu</w:t>
      </w:r>
    </w:p>
    <w:p w14:paraId="3829BCB4" w14:textId="77777777" w:rsidR="009A4A66" w:rsidRDefault="009A4A66" w:rsidP="009A4A66">
      <w:pPr>
        <w:rPr>
          <w:rFonts w:cs="Arial"/>
          <w:sz w:val="22"/>
        </w:rPr>
      </w:pPr>
    </w:p>
    <w:p w14:paraId="6EC451C4" w14:textId="77777777" w:rsidR="009A4A66" w:rsidRDefault="009A4A66" w:rsidP="009A4A66">
      <w:pPr>
        <w:rPr>
          <w:rFonts w:cs="Arial"/>
          <w:sz w:val="22"/>
        </w:rPr>
      </w:pPr>
    </w:p>
    <w:p w14:paraId="1A80040C" w14:textId="77777777" w:rsidR="009A4A66" w:rsidRDefault="009A4A66" w:rsidP="009A4A66">
      <w:pPr>
        <w:rPr>
          <w:rFonts w:cs="Arial"/>
          <w:sz w:val="22"/>
        </w:rPr>
      </w:pPr>
    </w:p>
    <w:p w14:paraId="67378294" w14:textId="77777777" w:rsidR="009A4A66" w:rsidRPr="009A4A66" w:rsidRDefault="009A4A66" w:rsidP="009A4A66">
      <w:pPr>
        <w:rPr>
          <w:rFonts w:cs="Arial"/>
          <w:sz w:val="22"/>
        </w:rPr>
      </w:pPr>
    </w:p>
    <w:p w14:paraId="592DF598" w14:textId="27DF606E" w:rsidR="00AC55EF" w:rsidRPr="00960191" w:rsidRDefault="009A4A66" w:rsidP="00960191">
      <w:pPr>
        <w:spacing w:after="0" w:line="240" w:lineRule="auto"/>
        <w:rPr>
          <w:rFonts w:cs="Arial"/>
          <w:b/>
          <w:bCs/>
          <w:color w:val="000000" w:themeColor="text1"/>
          <w:sz w:val="22"/>
        </w:rPr>
      </w:pPr>
      <w:r>
        <w:rPr>
          <w:rFonts w:cs="Arial"/>
          <w:b/>
          <w:bCs/>
          <w:color w:val="000000" w:themeColor="text1"/>
          <w:sz w:val="22"/>
        </w:rPr>
        <w:br w:type="page"/>
      </w:r>
    </w:p>
    <w:p w14:paraId="5333AE32" w14:textId="77777777" w:rsidR="00AC55EF" w:rsidRPr="009A4A66" w:rsidRDefault="00AC55EF" w:rsidP="00AC55EF">
      <w:pPr>
        <w:rPr>
          <w:rFonts w:cs="Arial"/>
          <w:b/>
          <w:bCs/>
          <w:color w:val="000000" w:themeColor="text1"/>
          <w:sz w:val="22"/>
        </w:rPr>
      </w:pPr>
      <w:r w:rsidRPr="009A4A66">
        <w:rPr>
          <w:rFonts w:cs="Arial"/>
          <w:b/>
          <w:bCs/>
          <w:noProof/>
          <w:color w:val="000000" w:themeColor="text1"/>
          <w:sz w:val="22"/>
        </w:rPr>
        <w:lastRenderedPageBreak/>
        <w:drawing>
          <wp:inline distT="0" distB="0" distL="0" distR="0" wp14:anchorId="3922D6D4" wp14:editId="3E9141A5">
            <wp:extent cx="5943600" cy="2354894"/>
            <wp:effectExtent l="0" t="0" r="0" b="0"/>
            <wp:docPr id="1691978713" name="Picture 1" descr="A diagram of a molec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978713" name="Picture 1" descr="A diagram of a molecul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83"/>
                    <a:stretch/>
                  </pic:blipFill>
                  <pic:spPr bwMode="auto">
                    <a:xfrm>
                      <a:off x="0" y="0"/>
                      <a:ext cx="5943600" cy="2354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E962D" w14:textId="77777777" w:rsidR="00AC55EF" w:rsidRPr="009A4A66" w:rsidRDefault="00AC55EF" w:rsidP="00AC55EF">
      <w:pPr>
        <w:rPr>
          <w:rFonts w:cs="Arial"/>
          <w:b/>
          <w:bCs/>
          <w:color w:val="000000" w:themeColor="text1"/>
          <w:sz w:val="22"/>
        </w:rPr>
      </w:pPr>
    </w:p>
    <w:p w14:paraId="44C3DFF0" w14:textId="475DD608" w:rsidR="00AC55EF" w:rsidRPr="009A4A66" w:rsidRDefault="00AC55EF" w:rsidP="00AC55EF">
      <w:pPr>
        <w:spacing w:line="240" w:lineRule="auto"/>
        <w:rPr>
          <w:rFonts w:cs="Arial"/>
          <w:color w:val="000000" w:themeColor="text1"/>
          <w:sz w:val="22"/>
        </w:rPr>
      </w:pPr>
      <w:bookmarkStart w:id="0" w:name="_Toc165582363"/>
      <w:r w:rsidRPr="00F73042">
        <w:rPr>
          <w:rStyle w:val="Heading4Char"/>
          <w:rFonts w:cs="Arial"/>
          <w:b/>
          <w:bCs/>
          <w:i w:val="0"/>
          <w:iCs w:val="0"/>
          <w:color w:val="000000" w:themeColor="text1"/>
          <w:sz w:val="22"/>
        </w:rPr>
        <w:t>Fig S1</w:t>
      </w:r>
      <w:r w:rsidRPr="009A4A66">
        <w:rPr>
          <w:rStyle w:val="Heading4Char"/>
          <w:rFonts w:cs="Arial"/>
          <w:b/>
          <w:bCs/>
          <w:color w:val="000000" w:themeColor="text1"/>
          <w:sz w:val="22"/>
        </w:rPr>
        <w:t xml:space="preserve"> </w:t>
      </w:r>
      <w:bookmarkEnd w:id="0"/>
      <w:r w:rsidR="0070363F" w:rsidRPr="00F73042">
        <w:rPr>
          <w:rFonts w:eastAsiaTheme="majorEastAsia" w:cs="Arial"/>
          <w:b/>
          <w:bCs/>
          <w:color w:val="000000" w:themeColor="text1"/>
          <w:sz w:val="22"/>
        </w:rPr>
        <w:t>The ionizable lipidoid 304O</w:t>
      </w:r>
      <w:r w:rsidR="0070363F" w:rsidRPr="00F73042">
        <w:rPr>
          <w:rFonts w:eastAsiaTheme="majorEastAsia" w:cs="Arial"/>
          <w:b/>
          <w:bCs/>
          <w:color w:val="000000" w:themeColor="text1"/>
          <w:sz w:val="22"/>
          <w:vertAlign w:val="subscript"/>
        </w:rPr>
        <w:t>i10</w:t>
      </w:r>
      <w:r w:rsidR="0070363F" w:rsidRPr="00F73042">
        <w:rPr>
          <w:rFonts w:eastAsiaTheme="majorEastAsia" w:cs="Arial"/>
          <w:b/>
          <w:bCs/>
          <w:color w:val="000000" w:themeColor="text1"/>
          <w:sz w:val="22"/>
        </w:rPr>
        <w:t xml:space="preserve"> </w:t>
      </w:r>
      <w:r w:rsidR="00831E95" w:rsidRPr="00F73042">
        <w:rPr>
          <w:rFonts w:eastAsiaTheme="majorEastAsia" w:cs="Arial"/>
          <w:b/>
          <w:bCs/>
          <w:color w:val="000000" w:themeColor="text1"/>
          <w:sz w:val="22"/>
        </w:rPr>
        <w:t>comprises an amine headgroup and an acrylate tail.</w:t>
      </w:r>
      <w:r w:rsidR="007A6109" w:rsidRPr="00F73042">
        <w:rPr>
          <w:rFonts w:eastAsiaTheme="majorEastAsia" w:cs="Arial"/>
          <w:b/>
          <w:bCs/>
          <w:color w:val="000000" w:themeColor="text1"/>
          <w:sz w:val="22"/>
        </w:rPr>
        <w:t xml:space="preserve"> </w:t>
      </w:r>
      <w:r w:rsidRPr="009A4A66">
        <w:rPr>
          <w:rFonts w:cs="Arial"/>
          <w:color w:val="000000" w:themeColor="text1"/>
          <w:sz w:val="22"/>
        </w:rPr>
        <w:t>The previously identified head group (304, red) and tail group (O</w:t>
      </w:r>
      <w:r w:rsidRPr="009A4A66">
        <w:rPr>
          <w:rFonts w:cs="Arial"/>
          <w:color w:val="000000" w:themeColor="text1"/>
          <w:sz w:val="22"/>
          <w:vertAlign w:val="subscript"/>
        </w:rPr>
        <w:t>i10</w:t>
      </w:r>
      <w:r w:rsidRPr="009A4A66">
        <w:rPr>
          <w:rFonts w:cs="Arial"/>
          <w:color w:val="000000" w:themeColor="text1"/>
          <w:sz w:val="22"/>
        </w:rPr>
        <w:t>, blue) were reacted for 3 days at 90˚C</w:t>
      </w:r>
      <w:r w:rsidR="0070363F" w:rsidRPr="009A4A66">
        <w:rPr>
          <w:rFonts w:cs="Arial"/>
          <w:color w:val="000000" w:themeColor="text1"/>
          <w:sz w:val="22"/>
        </w:rPr>
        <w:t>, with purification by flash chromatography</w:t>
      </w:r>
      <w:r w:rsidRPr="009A4A66">
        <w:rPr>
          <w:rFonts w:cs="Arial"/>
          <w:color w:val="000000" w:themeColor="text1"/>
          <w:sz w:val="22"/>
        </w:rPr>
        <w:t xml:space="preserve">. </w:t>
      </w:r>
    </w:p>
    <w:p w14:paraId="2972DEBE" w14:textId="77777777" w:rsidR="00AC55EF" w:rsidRPr="009A4A66" w:rsidRDefault="00AC55EF" w:rsidP="00AC55EF">
      <w:pPr>
        <w:rPr>
          <w:rFonts w:cs="Arial"/>
          <w:b/>
          <w:bCs/>
          <w:color w:val="000000" w:themeColor="text1"/>
          <w:sz w:val="22"/>
        </w:rPr>
      </w:pPr>
    </w:p>
    <w:p w14:paraId="36D7FB30" w14:textId="77777777" w:rsidR="00AC55EF" w:rsidRPr="009A4A66" w:rsidRDefault="00AC55EF" w:rsidP="00AC55EF">
      <w:pPr>
        <w:rPr>
          <w:rFonts w:cs="Arial"/>
          <w:b/>
          <w:bCs/>
          <w:color w:val="000000" w:themeColor="text1"/>
          <w:sz w:val="22"/>
        </w:rPr>
      </w:pPr>
      <w:r w:rsidRPr="009A4A66">
        <w:rPr>
          <w:rFonts w:cs="Arial"/>
          <w:b/>
          <w:bCs/>
          <w:color w:val="000000" w:themeColor="text1"/>
          <w:sz w:val="22"/>
        </w:rPr>
        <w:br w:type="page"/>
      </w:r>
    </w:p>
    <w:p w14:paraId="16CC23F3" w14:textId="77777777" w:rsidR="00AC55EF" w:rsidRPr="009A4A66" w:rsidRDefault="00AC55EF" w:rsidP="00AC55EF">
      <w:pPr>
        <w:rPr>
          <w:rFonts w:cs="Arial"/>
          <w:b/>
          <w:bCs/>
          <w:color w:val="000000" w:themeColor="text1"/>
          <w:sz w:val="22"/>
        </w:rPr>
      </w:pPr>
      <w:r w:rsidRPr="009A4A66">
        <w:rPr>
          <w:rFonts w:cs="Arial"/>
          <w:b/>
          <w:bCs/>
          <w:noProof/>
          <w:color w:val="000000" w:themeColor="text1"/>
          <w:sz w:val="22"/>
        </w:rPr>
        <w:lastRenderedPageBreak/>
        <w:drawing>
          <wp:inline distT="0" distB="0" distL="0" distR="0" wp14:anchorId="55F308F7" wp14:editId="193FC5BA">
            <wp:extent cx="5943600" cy="3289300"/>
            <wp:effectExtent l="0" t="0" r="0" b="0"/>
            <wp:docPr id="1702131221" name="Picture 1" descr="A diagram of a chemical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31221" name="Picture 1" descr="A diagram of a chemical structu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BEE01" w14:textId="3796D9BF" w:rsidR="00AC55EF" w:rsidRPr="009A4A66" w:rsidRDefault="00AC55EF" w:rsidP="00AC55EF">
      <w:pPr>
        <w:spacing w:line="240" w:lineRule="auto"/>
        <w:rPr>
          <w:rFonts w:cs="Arial"/>
          <w:color w:val="000000" w:themeColor="text1"/>
          <w:sz w:val="22"/>
        </w:rPr>
      </w:pPr>
      <w:bookmarkStart w:id="1" w:name="_Toc165582364"/>
      <w:r w:rsidRPr="00F73042">
        <w:rPr>
          <w:rStyle w:val="Heading4Char"/>
          <w:rFonts w:cs="Arial"/>
          <w:b/>
          <w:bCs/>
          <w:i w:val="0"/>
          <w:iCs w:val="0"/>
          <w:color w:val="000000" w:themeColor="text1"/>
          <w:sz w:val="22"/>
        </w:rPr>
        <w:t xml:space="preserve">Fig S2 </w:t>
      </w:r>
      <w:r w:rsidR="00831E95" w:rsidRPr="00F73042">
        <w:rPr>
          <w:rFonts w:eastAsiaTheme="majorEastAsia" w:cs="Arial"/>
          <w:b/>
          <w:bCs/>
          <w:color w:val="000000" w:themeColor="text1"/>
          <w:sz w:val="22"/>
        </w:rPr>
        <w:t>The three PEG-lipids used in this study share a common fatty acid tail structure but differ in their linker chemistry</w:t>
      </w:r>
      <w:r w:rsidRPr="00F73042">
        <w:rPr>
          <w:rStyle w:val="Heading4Char"/>
          <w:rFonts w:cs="Arial"/>
          <w:b/>
          <w:bCs/>
          <w:color w:val="000000" w:themeColor="text1"/>
          <w:sz w:val="22"/>
        </w:rPr>
        <w:t>.</w:t>
      </w:r>
      <w:bookmarkEnd w:id="1"/>
      <w:r w:rsidRPr="009A4A66">
        <w:rPr>
          <w:rFonts w:cs="Arial"/>
          <w:b/>
          <w:bCs/>
          <w:color w:val="000000" w:themeColor="text1"/>
          <w:sz w:val="22"/>
        </w:rPr>
        <w:t xml:space="preserve"> </w:t>
      </w:r>
      <w:r w:rsidR="00831E95" w:rsidRPr="009A4A66">
        <w:rPr>
          <w:rFonts w:cs="Arial"/>
          <w:color w:val="000000" w:themeColor="text1"/>
          <w:sz w:val="22"/>
        </w:rPr>
        <w:t xml:space="preserve">The PEG-lipids used in this study each contain two fatty acid tails of 14 carbons (myristic acid, green). DMG-PEG2000 contains a glycerol linker between the fatty acid tails and the PEG chain, while PE-PEG750 and PE-PEG2000 contain a </w:t>
      </w:r>
      <w:proofErr w:type="spellStart"/>
      <w:r w:rsidR="00831E95" w:rsidRPr="009A4A66">
        <w:rPr>
          <w:rFonts w:cs="Arial"/>
          <w:color w:val="000000" w:themeColor="text1"/>
          <w:sz w:val="22"/>
        </w:rPr>
        <w:t>phosphoethanolamine</w:t>
      </w:r>
      <w:proofErr w:type="spellEnd"/>
      <w:r w:rsidR="00831E95" w:rsidRPr="009A4A66">
        <w:rPr>
          <w:rFonts w:cs="Arial"/>
          <w:color w:val="000000" w:themeColor="text1"/>
          <w:sz w:val="22"/>
        </w:rPr>
        <w:t xml:space="preserve"> linker. Each PEG-lipid ends with a methoxy group.</w:t>
      </w:r>
    </w:p>
    <w:p w14:paraId="03367635" w14:textId="77777777" w:rsidR="00AC55EF" w:rsidRPr="009A4A66" w:rsidRDefault="00AC55EF" w:rsidP="00AC55EF">
      <w:pPr>
        <w:rPr>
          <w:rFonts w:cs="Arial"/>
          <w:color w:val="000000" w:themeColor="text1"/>
          <w:sz w:val="22"/>
        </w:rPr>
      </w:pPr>
    </w:p>
    <w:p w14:paraId="5B617A90" w14:textId="77777777" w:rsidR="00AC55EF" w:rsidRPr="009A4A66" w:rsidRDefault="00AC55EF" w:rsidP="00AC55EF">
      <w:pPr>
        <w:rPr>
          <w:rFonts w:cs="Arial"/>
          <w:b/>
          <w:bCs/>
          <w:color w:val="000000" w:themeColor="text1"/>
          <w:sz w:val="22"/>
        </w:rPr>
      </w:pPr>
    </w:p>
    <w:p w14:paraId="45A7BFB4" w14:textId="77777777" w:rsidR="00AC55EF" w:rsidRPr="009A4A66" w:rsidRDefault="00AC55EF" w:rsidP="00AC55EF">
      <w:pPr>
        <w:rPr>
          <w:rFonts w:cs="Arial"/>
          <w:b/>
          <w:bCs/>
          <w:color w:val="000000" w:themeColor="text1"/>
          <w:sz w:val="22"/>
        </w:rPr>
      </w:pPr>
      <w:r w:rsidRPr="009A4A66">
        <w:rPr>
          <w:rFonts w:cs="Arial"/>
          <w:b/>
          <w:bCs/>
          <w:color w:val="000000" w:themeColor="text1"/>
          <w:sz w:val="22"/>
        </w:rPr>
        <w:br w:type="page"/>
      </w:r>
    </w:p>
    <w:p w14:paraId="4F72419E" w14:textId="1E933D6E" w:rsidR="00AC55EF" w:rsidRPr="009A4A66" w:rsidRDefault="007F5CB6" w:rsidP="00AC55EF">
      <w:pPr>
        <w:jc w:val="center"/>
        <w:rPr>
          <w:rFonts w:cs="Arial"/>
          <w:b/>
          <w:bCs/>
          <w:color w:val="000000" w:themeColor="text1"/>
          <w:sz w:val="22"/>
        </w:rPr>
      </w:pPr>
      <w:r w:rsidRPr="009A4A66">
        <w:rPr>
          <w:rFonts w:cs="Arial"/>
          <w:b/>
          <w:bCs/>
          <w:noProof/>
          <w:color w:val="000000" w:themeColor="text1"/>
          <w:sz w:val="22"/>
        </w:rPr>
        <w:lastRenderedPageBreak/>
        <w:drawing>
          <wp:inline distT="0" distB="0" distL="0" distR="0" wp14:anchorId="11A878CF" wp14:editId="072F5A7F">
            <wp:extent cx="3784600" cy="2540000"/>
            <wp:effectExtent l="0" t="0" r="0" b="0"/>
            <wp:docPr id="1684802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8029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C3372" w14:textId="61CF8822" w:rsidR="00AC55EF" w:rsidRPr="009A4A66" w:rsidRDefault="00AC55EF" w:rsidP="00AC55EF">
      <w:pPr>
        <w:spacing w:line="240" w:lineRule="auto"/>
        <w:rPr>
          <w:rFonts w:cs="Arial"/>
          <w:color w:val="000000" w:themeColor="text1"/>
          <w:sz w:val="22"/>
        </w:rPr>
      </w:pPr>
      <w:bookmarkStart w:id="2" w:name="_Toc165582365"/>
      <w:r w:rsidRPr="00F73042">
        <w:rPr>
          <w:rStyle w:val="Heading4Char"/>
          <w:rFonts w:cs="Arial"/>
          <w:b/>
          <w:bCs/>
          <w:i w:val="0"/>
          <w:iCs w:val="0"/>
          <w:color w:val="000000" w:themeColor="text1"/>
          <w:sz w:val="22"/>
        </w:rPr>
        <w:t>Fig S3</w:t>
      </w:r>
      <w:r w:rsidRPr="009A4A66">
        <w:rPr>
          <w:rStyle w:val="Heading4Char"/>
          <w:rFonts w:cs="Arial"/>
          <w:b/>
          <w:bCs/>
          <w:color w:val="000000" w:themeColor="text1"/>
          <w:sz w:val="22"/>
        </w:rPr>
        <w:t xml:space="preserve"> </w:t>
      </w:r>
      <w:r w:rsidR="00AF21FF" w:rsidRPr="00F73042">
        <w:rPr>
          <w:rFonts w:eastAsiaTheme="majorEastAsia" w:cs="Arial"/>
          <w:b/>
          <w:bCs/>
          <w:color w:val="000000" w:themeColor="text1"/>
          <w:sz w:val="22"/>
        </w:rPr>
        <w:t>EPO expression correlated positively with PEG-lipid molar percentage</w:t>
      </w:r>
      <w:r w:rsidRPr="00F73042">
        <w:rPr>
          <w:rStyle w:val="Heading4Char"/>
          <w:rFonts w:cs="Arial"/>
          <w:b/>
          <w:bCs/>
          <w:color w:val="000000" w:themeColor="text1"/>
          <w:sz w:val="22"/>
        </w:rPr>
        <w:t>.</w:t>
      </w:r>
      <w:bookmarkEnd w:id="2"/>
      <w:r w:rsidRPr="009A4A66">
        <w:rPr>
          <w:rFonts w:cs="Arial"/>
          <w:b/>
          <w:bCs/>
          <w:color w:val="000000" w:themeColor="text1"/>
          <w:sz w:val="22"/>
        </w:rPr>
        <w:t xml:space="preserve"> </w:t>
      </w:r>
      <w:r w:rsidR="00AF21FF" w:rsidRPr="009A4A66">
        <w:rPr>
          <w:rFonts w:cs="Arial"/>
          <w:color w:val="000000" w:themeColor="text1"/>
          <w:sz w:val="22"/>
        </w:rPr>
        <w:t>EPO concentrations were measured from blood collected 6 hours after the first dose across PEG-lipid concentrations from 0 to 2.5 mol%.</w:t>
      </w:r>
      <w:r w:rsidR="00AF21FF" w:rsidRPr="009A4A66">
        <w:rPr>
          <w:rFonts w:cs="Arial"/>
          <w:b/>
          <w:bCs/>
          <w:color w:val="000000" w:themeColor="text1"/>
          <w:sz w:val="22"/>
        </w:rPr>
        <w:t xml:space="preserve"> </w:t>
      </w:r>
      <w:r w:rsidR="007F5CB6" w:rsidRPr="009A4A66">
        <w:rPr>
          <w:rFonts w:cs="Arial"/>
          <w:color w:val="000000" w:themeColor="text1"/>
          <w:sz w:val="22"/>
        </w:rPr>
        <w:t xml:space="preserve">N=3-4, error bars represent SEM. </w:t>
      </w:r>
      <w:r w:rsidRPr="009A4A66">
        <w:rPr>
          <w:rFonts w:cs="Arial"/>
          <w:color w:val="000000" w:themeColor="text1"/>
          <w:sz w:val="22"/>
        </w:rPr>
        <w:t>Pearson’s Correlation, R</w:t>
      </w:r>
      <w:r w:rsidRPr="009A4A66">
        <w:rPr>
          <w:rFonts w:cs="Arial"/>
          <w:color w:val="000000" w:themeColor="text1"/>
          <w:sz w:val="22"/>
          <w:vertAlign w:val="superscript"/>
        </w:rPr>
        <w:t xml:space="preserve">2 </w:t>
      </w:r>
      <w:r w:rsidRPr="009A4A66">
        <w:rPr>
          <w:rFonts w:cs="Arial"/>
          <w:color w:val="000000" w:themeColor="text1"/>
          <w:sz w:val="22"/>
        </w:rPr>
        <w:t xml:space="preserve">= 0.9346, p </w:t>
      </w:r>
      <w:r w:rsidR="00AF21FF" w:rsidRPr="009A4A66">
        <w:rPr>
          <w:rFonts w:cs="Arial"/>
          <w:color w:val="000000" w:themeColor="text1"/>
          <w:sz w:val="22"/>
        </w:rPr>
        <w:t>&lt;</w:t>
      </w:r>
      <w:r w:rsidRPr="009A4A66">
        <w:rPr>
          <w:rFonts w:cs="Arial"/>
          <w:color w:val="000000" w:themeColor="text1"/>
          <w:sz w:val="22"/>
        </w:rPr>
        <w:t xml:space="preserve"> 0.05.</w:t>
      </w:r>
    </w:p>
    <w:p w14:paraId="1F5E8F95" w14:textId="77777777" w:rsidR="00AC55EF" w:rsidRPr="009A4A66" w:rsidRDefault="00AC55EF" w:rsidP="00AC55EF">
      <w:pPr>
        <w:rPr>
          <w:rFonts w:cs="Arial"/>
          <w:color w:val="000000" w:themeColor="text1"/>
          <w:sz w:val="22"/>
        </w:rPr>
      </w:pPr>
    </w:p>
    <w:p w14:paraId="09B701A7" w14:textId="77777777" w:rsidR="00AC55EF" w:rsidRPr="009A4A66" w:rsidRDefault="00AC55EF" w:rsidP="00AC55EF">
      <w:pPr>
        <w:rPr>
          <w:rFonts w:cs="Arial"/>
          <w:color w:val="000000" w:themeColor="text1"/>
          <w:sz w:val="22"/>
        </w:rPr>
      </w:pPr>
    </w:p>
    <w:p w14:paraId="4CC711D3" w14:textId="77777777" w:rsidR="00AC55EF" w:rsidRPr="009A4A66" w:rsidRDefault="00AC55EF" w:rsidP="00AC55EF">
      <w:pPr>
        <w:rPr>
          <w:rFonts w:cs="Arial"/>
          <w:b/>
          <w:bCs/>
          <w:color w:val="000000" w:themeColor="text1"/>
          <w:sz w:val="22"/>
        </w:rPr>
      </w:pPr>
    </w:p>
    <w:p w14:paraId="0C03A14D" w14:textId="77777777" w:rsidR="00AC55EF" w:rsidRPr="009A4A66" w:rsidRDefault="00AC55EF" w:rsidP="00AC55EF">
      <w:pPr>
        <w:rPr>
          <w:rFonts w:cs="Arial"/>
          <w:b/>
          <w:bCs/>
          <w:noProof/>
          <w:color w:val="000000" w:themeColor="text1"/>
          <w:sz w:val="22"/>
        </w:rPr>
      </w:pPr>
      <w:r w:rsidRPr="009A4A66">
        <w:rPr>
          <w:rFonts w:cs="Arial"/>
          <w:b/>
          <w:bCs/>
          <w:noProof/>
          <w:color w:val="000000" w:themeColor="text1"/>
          <w:sz w:val="22"/>
        </w:rPr>
        <w:t xml:space="preserve"> </w:t>
      </w:r>
      <w:r w:rsidRPr="009A4A66">
        <w:rPr>
          <w:rFonts w:cs="Arial"/>
          <w:b/>
          <w:bCs/>
          <w:noProof/>
          <w:color w:val="000000" w:themeColor="text1"/>
          <w:sz w:val="22"/>
        </w:rPr>
        <w:br w:type="page"/>
      </w:r>
    </w:p>
    <w:p w14:paraId="024FABB1" w14:textId="2B6D28C0" w:rsidR="00AC55EF" w:rsidRPr="009A4A66" w:rsidRDefault="007F5CB6" w:rsidP="00AC55EF">
      <w:pPr>
        <w:jc w:val="center"/>
        <w:rPr>
          <w:rFonts w:cs="Arial"/>
          <w:b/>
          <w:bCs/>
          <w:color w:val="000000" w:themeColor="text1"/>
          <w:sz w:val="22"/>
        </w:rPr>
      </w:pPr>
      <w:r w:rsidRPr="009A4A66">
        <w:rPr>
          <w:rFonts w:cs="Arial"/>
          <w:b/>
          <w:bCs/>
          <w:noProof/>
          <w:color w:val="000000" w:themeColor="text1"/>
          <w:sz w:val="22"/>
        </w:rPr>
        <w:lastRenderedPageBreak/>
        <w:drawing>
          <wp:inline distT="0" distB="0" distL="0" distR="0" wp14:anchorId="15C11B9A" wp14:editId="0FA1EB68">
            <wp:extent cx="5915378" cy="4855539"/>
            <wp:effectExtent l="0" t="0" r="0" b="0"/>
            <wp:docPr id="454424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247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8795" cy="486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058BD" w14:textId="39072742" w:rsidR="000871C7" w:rsidRPr="009A4A66" w:rsidRDefault="00AC55EF" w:rsidP="000871C7">
      <w:pPr>
        <w:spacing w:line="240" w:lineRule="auto"/>
        <w:rPr>
          <w:rFonts w:eastAsiaTheme="majorEastAsia" w:cs="Arial"/>
          <w:b/>
          <w:bCs/>
          <w:color w:val="000000" w:themeColor="text1"/>
          <w:sz w:val="22"/>
        </w:rPr>
      </w:pPr>
      <w:bookmarkStart w:id="3" w:name="_Toc165582366"/>
      <w:r w:rsidRPr="00F73042">
        <w:rPr>
          <w:rStyle w:val="Heading4Char"/>
          <w:rFonts w:cs="Arial"/>
          <w:b/>
          <w:bCs/>
          <w:i w:val="0"/>
          <w:iCs w:val="0"/>
          <w:color w:val="000000" w:themeColor="text1"/>
          <w:sz w:val="22"/>
        </w:rPr>
        <w:t>Fig S4</w:t>
      </w:r>
      <w:bookmarkEnd w:id="3"/>
      <w:r w:rsidR="000871C7" w:rsidRPr="009A4A66">
        <w:rPr>
          <w:rFonts w:ascii="Times New Roman" w:eastAsia="Times New Roman" w:hAnsi="Times New Roman" w:cs="Times New Roman"/>
          <w:sz w:val="22"/>
        </w:rPr>
        <w:t xml:space="preserve"> </w:t>
      </w:r>
      <w:r w:rsidR="000871C7" w:rsidRPr="00F73042">
        <w:rPr>
          <w:rFonts w:eastAsiaTheme="majorEastAsia" w:cs="Arial"/>
          <w:b/>
          <w:bCs/>
          <w:color w:val="000000" w:themeColor="text1"/>
          <w:sz w:val="22"/>
        </w:rPr>
        <w:t>Anti-PEG IgM and total IgG increased significantly for PEG-lipid concentrations of 1-2 mol%.</w:t>
      </w:r>
      <w:r w:rsidR="000871C7" w:rsidRPr="009A4A66">
        <w:rPr>
          <w:rFonts w:eastAsiaTheme="majorEastAsia" w:cs="Arial"/>
          <w:b/>
          <w:bCs/>
          <w:i/>
          <w:iCs/>
          <w:color w:val="000000" w:themeColor="text1"/>
          <w:sz w:val="22"/>
        </w:rPr>
        <w:t xml:space="preserve"> </w:t>
      </w:r>
      <w:r w:rsidR="000871C7" w:rsidRPr="009A4A66">
        <w:rPr>
          <w:rFonts w:eastAsiaTheme="majorEastAsia" w:cs="Arial"/>
          <w:color w:val="000000" w:themeColor="text1"/>
          <w:sz w:val="22"/>
        </w:rPr>
        <w:t xml:space="preserve">Lipid nanoparticles formulated with lipidoid </w:t>
      </w:r>
      <w:r w:rsidR="007A06A5" w:rsidRPr="009A4A66">
        <w:rPr>
          <w:rFonts w:eastAsiaTheme="majorEastAsia" w:cs="Arial"/>
          <w:color w:val="000000" w:themeColor="text1"/>
          <w:sz w:val="22"/>
        </w:rPr>
        <w:t>304O</w:t>
      </w:r>
      <w:r w:rsidR="007A06A5" w:rsidRPr="009A4A66">
        <w:rPr>
          <w:rFonts w:eastAsiaTheme="majorEastAsia" w:cs="Arial"/>
          <w:color w:val="000000" w:themeColor="text1"/>
          <w:sz w:val="22"/>
          <w:vertAlign w:val="subscript"/>
        </w:rPr>
        <w:t>i10</w:t>
      </w:r>
      <w:r w:rsidR="007A06A5" w:rsidRPr="009A4A66">
        <w:rPr>
          <w:rFonts w:eastAsiaTheme="majorEastAsia" w:cs="Arial"/>
          <w:color w:val="000000" w:themeColor="text1"/>
          <w:sz w:val="22"/>
        </w:rPr>
        <w:t xml:space="preserve"> </w:t>
      </w:r>
      <w:r w:rsidR="000871C7" w:rsidRPr="009A4A66">
        <w:rPr>
          <w:rFonts w:eastAsiaTheme="majorEastAsia" w:cs="Arial"/>
          <w:color w:val="000000" w:themeColor="text1"/>
          <w:sz w:val="22"/>
        </w:rPr>
        <w:t>and PE-PEG2000 were delivered intravenously to mice</w:t>
      </w:r>
      <w:r w:rsidR="007A06A5" w:rsidRPr="009A4A66">
        <w:rPr>
          <w:rFonts w:eastAsiaTheme="majorEastAsia" w:cs="Arial"/>
          <w:color w:val="000000" w:themeColor="text1"/>
          <w:sz w:val="22"/>
        </w:rPr>
        <w:t xml:space="preserve"> on Day 0</w:t>
      </w:r>
      <w:r w:rsidR="000871C7" w:rsidRPr="009A4A66">
        <w:rPr>
          <w:rFonts w:eastAsiaTheme="majorEastAsia" w:cs="Arial"/>
          <w:color w:val="000000" w:themeColor="text1"/>
          <w:sz w:val="22"/>
        </w:rPr>
        <w:t xml:space="preserve"> at 0.5 mg/kg with </w:t>
      </w:r>
      <w:r w:rsidR="007A06A5" w:rsidRPr="009A4A66">
        <w:rPr>
          <w:rFonts w:eastAsiaTheme="majorEastAsia" w:cs="Arial"/>
          <w:color w:val="000000" w:themeColor="text1"/>
          <w:sz w:val="22"/>
        </w:rPr>
        <w:t xml:space="preserve">EPO mRNA </w:t>
      </w:r>
      <w:r w:rsidR="000871C7" w:rsidRPr="009A4A66">
        <w:rPr>
          <w:rFonts w:eastAsiaTheme="majorEastAsia" w:cs="Arial"/>
          <w:color w:val="000000" w:themeColor="text1"/>
          <w:sz w:val="22"/>
        </w:rPr>
        <w:t>for</w:t>
      </w:r>
      <w:r w:rsidR="007A06A5" w:rsidRPr="009A4A66">
        <w:rPr>
          <w:rFonts w:eastAsiaTheme="majorEastAsia" w:cs="Arial"/>
          <w:color w:val="000000" w:themeColor="text1"/>
          <w:sz w:val="22"/>
        </w:rPr>
        <w:t xml:space="preserve"> PEG molar concentrations of</w:t>
      </w:r>
      <w:r w:rsidR="000871C7" w:rsidRPr="009A4A66">
        <w:rPr>
          <w:rFonts w:eastAsiaTheme="majorEastAsia" w:cs="Arial"/>
          <w:color w:val="000000" w:themeColor="text1"/>
          <w:sz w:val="22"/>
        </w:rPr>
        <w:t xml:space="preserve"> 1% (purple triangles), 1.5% (blue circles), and 2% (</w:t>
      </w:r>
      <w:r w:rsidR="007F5CB6" w:rsidRPr="009A4A66">
        <w:rPr>
          <w:rFonts w:eastAsiaTheme="majorEastAsia" w:cs="Arial"/>
          <w:color w:val="000000" w:themeColor="text1"/>
          <w:sz w:val="22"/>
        </w:rPr>
        <w:t>green</w:t>
      </w:r>
      <w:r w:rsidR="000871C7" w:rsidRPr="009A4A66">
        <w:rPr>
          <w:rFonts w:eastAsiaTheme="majorEastAsia" w:cs="Arial"/>
          <w:color w:val="000000" w:themeColor="text1"/>
          <w:sz w:val="22"/>
        </w:rPr>
        <w:t xml:space="preserve"> squares). A) IgM, B) </w:t>
      </w:r>
      <w:r w:rsidR="00FC50F2" w:rsidRPr="009A4A66">
        <w:rPr>
          <w:rFonts w:eastAsiaTheme="majorEastAsia" w:cs="Arial"/>
          <w:color w:val="000000" w:themeColor="text1"/>
          <w:sz w:val="22"/>
        </w:rPr>
        <w:t>a</w:t>
      </w:r>
      <w:r w:rsidR="000871C7" w:rsidRPr="009A4A66">
        <w:rPr>
          <w:rFonts w:eastAsiaTheme="majorEastAsia" w:cs="Arial"/>
          <w:color w:val="000000" w:themeColor="text1"/>
          <w:sz w:val="22"/>
        </w:rPr>
        <w:t xml:space="preserve">nti-PEG IgM, C) IgG, and D) </w:t>
      </w:r>
      <w:r w:rsidR="00FC50F2" w:rsidRPr="009A4A66">
        <w:rPr>
          <w:rFonts w:eastAsiaTheme="majorEastAsia" w:cs="Arial"/>
          <w:color w:val="000000" w:themeColor="text1"/>
          <w:sz w:val="22"/>
        </w:rPr>
        <w:t>a</w:t>
      </w:r>
      <w:r w:rsidR="000871C7" w:rsidRPr="009A4A66">
        <w:rPr>
          <w:rFonts w:eastAsiaTheme="majorEastAsia" w:cs="Arial"/>
          <w:color w:val="000000" w:themeColor="text1"/>
          <w:sz w:val="22"/>
        </w:rPr>
        <w:t xml:space="preserve">nti-PEG IgG </w:t>
      </w:r>
      <w:r w:rsidR="007A06A5" w:rsidRPr="009A4A66">
        <w:rPr>
          <w:rFonts w:eastAsiaTheme="majorEastAsia" w:cs="Arial"/>
          <w:color w:val="000000" w:themeColor="text1"/>
          <w:sz w:val="22"/>
        </w:rPr>
        <w:t xml:space="preserve">serum </w:t>
      </w:r>
      <w:r w:rsidR="000871C7" w:rsidRPr="009A4A66">
        <w:rPr>
          <w:rFonts w:eastAsiaTheme="majorEastAsia" w:cs="Arial"/>
          <w:color w:val="000000" w:themeColor="text1"/>
          <w:sz w:val="22"/>
        </w:rPr>
        <w:t>levels</w:t>
      </w:r>
      <w:r w:rsidR="007A06A5" w:rsidRPr="009A4A66">
        <w:rPr>
          <w:rFonts w:eastAsiaTheme="majorEastAsia" w:cs="Arial"/>
          <w:color w:val="000000" w:themeColor="text1"/>
          <w:sz w:val="22"/>
        </w:rPr>
        <w:t xml:space="preserve"> were quantified by ELISA</w:t>
      </w:r>
      <w:r w:rsidR="000871C7" w:rsidRPr="009A4A66">
        <w:rPr>
          <w:rFonts w:eastAsiaTheme="majorEastAsia" w:cs="Arial"/>
          <w:color w:val="000000" w:themeColor="text1"/>
          <w:sz w:val="22"/>
        </w:rPr>
        <w:t>. Anti-PEG IgM increased significantly for 1.5% and 2% PEG. Total IgG increased significantly for all groups</w:t>
      </w:r>
      <w:r w:rsidR="007A06A5" w:rsidRPr="009A4A66">
        <w:rPr>
          <w:rFonts w:eastAsiaTheme="majorEastAsia" w:cs="Arial"/>
          <w:color w:val="000000" w:themeColor="text1"/>
          <w:sz w:val="22"/>
        </w:rPr>
        <w:t>, but a</w:t>
      </w:r>
      <w:r w:rsidR="000871C7" w:rsidRPr="009A4A66">
        <w:rPr>
          <w:rFonts w:eastAsiaTheme="majorEastAsia" w:cs="Arial"/>
          <w:color w:val="000000" w:themeColor="text1"/>
          <w:sz w:val="22"/>
        </w:rPr>
        <w:t xml:space="preserve">nti-PEG IgG did not increase significantly. The </w:t>
      </w:r>
      <w:r w:rsidR="007F5CB6" w:rsidRPr="009A4A66">
        <w:rPr>
          <w:rFonts w:eastAsiaTheme="majorEastAsia" w:cs="Arial"/>
          <w:color w:val="000000" w:themeColor="text1"/>
          <w:sz w:val="22"/>
        </w:rPr>
        <w:t xml:space="preserve">gray </w:t>
      </w:r>
      <w:r w:rsidR="000871C7" w:rsidRPr="009A4A66">
        <w:rPr>
          <w:rFonts w:eastAsiaTheme="majorEastAsia" w:cs="Arial"/>
          <w:color w:val="000000" w:themeColor="text1"/>
          <w:sz w:val="22"/>
        </w:rPr>
        <w:t>dashed line indicates</w:t>
      </w:r>
      <w:r w:rsidR="007F5CB6" w:rsidRPr="009A4A66">
        <w:rPr>
          <w:rFonts w:eastAsiaTheme="majorEastAsia" w:cs="Arial"/>
          <w:color w:val="000000" w:themeColor="text1"/>
          <w:sz w:val="22"/>
        </w:rPr>
        <w:t xml:space="preserve"> the </w:t>
      </w:r>
      <w:r w:rsidR="003F1D09" w:rsidRPr="009A4A66">
        <w:rPr>
          <w:rFonts w:eastAsiaTheme="majorEastAsia" w:cs="Arial"/>
          <w:color w:val="000000" w:themeColor="text1"/>
          <w:sz w:val="22"/>
        </w:rPr>
        <w:t xml:space="preserve">serum </w:t>
      </w:r>
      <w:r w:rsidR="000871C7" w:rsidRPr="009A4A66">
        <w:rPr>
          <w:rFonts w:eastAsiaTheme="majorEastAsia" w:cs="Arial"/>
          <w:color w:val="000000" w:themeColor="text1"/>
          <w:sz w:val="22"/>
        </w:rPr>
        <w:t>PBS control</w:t>
      </w:r>
      <w:r w:rsidR="007F5CB6" w:rsidRPr="009A4A66">
        <w:rPr>
          <w:rFonts w:eastAsiaTheme="majorEastAsia" w:cs="Arial"/>
          <w:color w:val="000000" w:themeColor="text1"/>
          <w:sz w:val="22"/>
        </w:rPr>
        <w:t xml:space="preserve"> value</w:t>
      </w:r>
      <w:r w:rsidR="000871C7" w:rsidRPr="009A4A66">
        <w:rPr>
          <w:rFonts w:eastAsiaTheme="majorEastAsia" w:cs="Arial"/>
          <w:color w:val="000000" w:themeColor="text1"/>
          <w:sz w:val="22"/>
        </w:rPr>
        <w:t xml:space="preserve">. </w:t>
      </w:r>
      <w:r w:rsidR="007F5CB6" w:rsidRPr="009A4A66">
        <w:rPr>
          <w:rFonts w:cs="Arial"/>
          <w:color w:val="000000" w:themeColor="text1"/>
          <w:sz w:val="22"/>
        </w:rPr>
        <w:t>N=3-4, error bars represent SEM, with * and **, **** indicating P &lt; 0.05, P &lt; 0.01, and P &lt; 0.0001, respectively, by two-way ANOVA.</w:t>
      </w:r>
    </w:p>
    <w:p w14:paraId="6CAD449A" w14:textId="3FA9239A" w:rsidR="000871C7" w:rsidRPr="009A4A66" w:rsidRDefault="000871C7" w:rsidP="00AC55EF">
      <w:pPr>
        <w:spacing w:line="240" w:lineRule="auto"/>
        <w:rPr>
          <w:rStyle w:val="Heading4Char"/>
          <w:rFonts w:cs="Arial"/>
          <w:b/>
          <w:bCs/>
          <w:color w:val="000000" w:themeColor="text1"/>
          <w:sz w:val="22"/>
        </w:rPr>
      </w:pPr>
    </w:p>
    <w:p w14:paraId="4DFF6491" w14:textId="77777777" w:rsidR="000871C7" w:rsidRPr="009A4A66" w:rsidRDefault="000871C7" w:rsidP="00AC55EF">
      <w:pPr>
        <w:spacing w:line="240" w:lineRule="auto"/>
        <w:rPr>
          <w:rStyle w:val="Heading4Char"/>
          <w:rFonts w:cs="Arial"/>
          <w:b/>
          <w:bCs/>
          <w:color w:val="000000" w:themeColor="text1"/>
          <w:sz w:val="22"/>
        </w:rPr>
      </w:pPr>
    </w:p>
    <w:p w14:paraId="01B25BB6" w14:textId="77777777" w:rsidR="00AC55EF" w:rsidRPr="009A4A66" w:rsidRDefault="00AC55EF" w:rsidP="00AC55EF">
      <w:pPr>
        <w:rPr>
          <w:rFonts w:cs="Arial"/>
          <w:b/>
          <w:bCs/>
          <w:color w:val="000000" w:themeColor="text1"/>
          <w:sz w:val="22"/>
        </w:rPr>
      </w:pPr>
    </w:p>
    <w:p w14:paraId="327516E8" w14:textId="77777777" w:rsidR="00AC55EF" w:rsidRPr="009A4A66" w:rsidRDefault="00AC55EF" w:rsidP="00AC55EF">
      <w:pPr>
        <w:rPr>
          <w:rFonts w:cs="Arial"/>
          <w:b/>
          <w:bCs/>
          <w:color w:val="000000" w:themeColor="text1"/>
          <w:sz w:val="22"/>
        </w:rPr>
      </w:pPr>
    </w:p>
    <w:p w14:paraId="50FC8831" w14:textId="77777777" w:rsidR="00AC55EF" w:rsidRPr="009A4A66" w:rsidRDefault="00AC55EF" w:rsidP="00AC55EF">
      <w:pPr>
        <w:rPr>
          <w:rFonts w:cs="Arial"/>
          <w:b/>
          <w:bCs/>
          <w:color w:val="000000" w:themeColor="text1"/>
          <w:sz w:val="22"/>
        </w:rPr>
      </w:pPr>
    </w:p>
    <w:p w14:paraId="03019C57" w14:textId="77777777" w:rsidR="00AC55EF" w:rsidRPr="009A4A66" w:rsidRDefault="00AC55EF" w:rsidP="00AC55EF">
      <w:pPr>
        <w:rPr>
          <w:rFonts w:cs="Arial"/>
          <w:b/>
          <w:bCs/>
          <w:color w:val="000000" w:themeColor="text1"/>
          <w:sz w:val="22"/>
        </w:rPr>
      </w:pPr>
    </w:p>
    <w:p w14:paraId="6FD77597" w14:textId="77777777" w:rsidR="00AC55EF" w:rsidRPr="009A4A66" w:rsidRDefault="00AC55EF" w:rsidP="00AC55EF">
      <w:pPr>
        <w:rPr>
          <w:rFonts w:cs="Arial"/>
          <w:b/>
          <w:bCs/>
          <w:color w:val="000000" w:themeColor="text1"/>
          <w:sz w:val="22"/>
        </w:rPr>
      </w:pPr>
    </w:p>
    <w:p w14:paraId="37C726B5" w14:textId="01F32ACD" w:rsidR="00AC55EF" w:rsidRPr="009A4A66" w:rsidRDefault="007F5CB6" w:rsidP="00AC55EF">
      <w:pPr>
        <w:jc w:val="center"/>
        <w:rPr>
          <w:rFonts w:cs="Arial"/>
          <w:b/>
          <w:bCs/>
          <w:color w:val="000000" w:themeColor="text1"/>
          <w:sz w:val="22"/>
        </w:rPr>
      </w:pPr>
      <w:r w:rsidRPr="009A4A66">
        <w:rPr>
          <w:rFonts w:cs="Arial"/>
          <w:b/>
          <w:bCs/>
          <w:noProof/>
          <w:color w:val="000000" w:themeColor="text1"/>
          <w:sz w:val="22"/>
        </w:rPr>
        <w:drawing>
          <wp:inline distT="0" distB="0" distL="0" distR="0" wp14:anchorId="68BDBB82" wp14:editId="51CF5D8B">
            <wp:extent cx="3759200" cy="2540000"/>
            <wp:effectExtent l="0" t="0" r="0" b="0"/>
            <wp:docPr id="449415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159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BA1A" w14:textId="12660607" w:rsidR="00AC55EF" w:rsidRPr="009A4A66" w:rsidRDefault="000871C7" w:rsidP="00AC55EF">
      <w:pPr>
        <w:spacing w:line="240" w:lineRule="auto"/>
        <w:rPr>
          <w:rFonts w:cs="Arial"/>
          <w:b/>
          <w:bCs/>
          <w:color w:val="000000" w:themeColor="text1"/>
          <w:sz w:val="22"/>
        </w:rPr>
      </w:pPr>
      <w:r w:rsidRPr="009A4A66">
        <w:rPr>
          <w:rFonts w:eastAsiaTheme="majorEastAsia" w:cs="Arial"/>
          <w:b/>
          <w:bCs/>
          <w:color w:val="000000" w:themeColor="text1"/>
          <w:sz w:val="22"/>
        </w:rPr>
        <w:t>Fig S5 LNP</w:t>
      </w:r>
      <w:r w:rsidRPr="009A4A66">
        <w:rPr>
          <w:rFonts w:eastAsiaTheme="majorEastAsia" w:cs="Arial"/>
          <w:b/>
          <w:bCs/>
          <w:color w:val="000000" w:themeColor="text1"/>
          <w:sz w:val="22"/>
          <w:vertAlign w:val="subscript"/>
        </w:rPr>
        <w:t xml:space="preserve">MC3 </w:t>
      </w:r>
      <w:r w:rsidRPr="009A4A66">
        <w:rPr>
          <w:rFonts w:eastAsiaTheme="majorEastAsia" w:cs="Arial"/>
          <w:b/>
          <w:bCs/>
          <w:color w:val="000000" w:themeColor="text1"/>
          <w:sz w:val="22"/>
        </w:rPr>
        <w:t xml:space="preserve">maintains efficacy upon repeat administration. </w:t>
      </w:r>
      <w:r w:rsidRPr="009A4A66">
        <w:rPr>
          <w:rFonts w:eastAsiaTheme="majorEastAsia" w:cs="Arial"/>
          <w:color w:val="000000" w:themeColor="text1"/>
          <w:sz w:val="22"/>
        </w:rPr>
        <w:t xml:space="preserve">Lipid nanoparticles formulated with MC3 were delivered intravenously to mice at 0.5 mg/kg with </w:t>
      </w:r>
      <w:r w:rsidR="007A06A5" w:rsidRPr="009A4A66">
        <w:rPr>
          <w:rFonts w:eastAsiaTheme="majorEastAsia" w:cs="Arial"/>
          <w:color w:val="000000" w:themeColor="text1"/>
          <w:sz w:val="22"/>
        </w:rPr>
        <w:t xml:space="preserve">EPO </w:t>
      </w:r>
      <w:r w:rsidRPr="009A4A66">
        <w:rPr>
          <w:rFonts w:eastAsiaTheme="majorEastAsia" w:cs="Arial"/>
          <w:color w:val="000000" w:themeColor="text1"/>
          <w:sz w:val="22"/>
        </w:rPr>
        <w:t>m</w:t>
      </w:r>
      <w:r w:rsidR="007A06A5" w:rsidRPr="009A4A66">
        <w:rPr>
          <w:rFonts w:eastAsiaTheme="majorEastAsia" w:cs="Arial"/>
          <w:color w:val="000000" w:themeColor="text1"/>
          <w:sz w:val="22"/>
        </w:rPr>
        <w:t>RNA</w:t>
      </w:r>
      <w:r w:rsidRPr="009A4A66">
        <w:rPr>
          <w:rFonts w:eastAsiaTheme="majorEastAsia" w:cs="Arial"/>
          <w:color w:val="000000" w:themeColor="text1"/>
          <w:sz w:val="22"/>
        </w:rPr>
        <w:t xml:space="preserve">. </w:t>
      </w:r>
      <w:r w:rsidR="007A06A5" w:rsidRPr="009A4A66">
        <w:rPr>
          <w:rFonts w:eastAsiaTheme="majorEastAsia" w:cs="Arial"/>
          <w:color w:val="000000" w:themeColor="text1"/>
          <w:sz w:val="22"/>
        </w:rPr>
        <w:t xml:space="preserve">Serum </w:t>
      </w:r>
      <w:r w:rsidRPr="009A4A66">
        <w:rPr>
          <w:rFonts w:eastAsiaTheme="majorEastAsia" w:cs="Arial"/>
          <w:color w:val="000000" w:themeColor="text1"/>
          <w:sz w:val="22"/>
        </w:rPr>
        <w:t xml:space="preserve">EPO concentrations were quantified by ELISA 6 hours after each dose. The </w:t>
      </w:r>
      <w:r w:rsidR="007F5CB6" w:rsidRPr="009A4A66">
        <w:rPr>
          <w:rFonts w:eastAsiaTheme="majorEastAsia" w:cs="Arial"/>
          <w:color w:val="000000" w:themeColor="text1"/>
          <w:sz w:val="22"/>
        </w:rPr>
        <w:t xml:space="preserve">gray </w:t>
      </w:r>
      <w:r w:rsidRPr="009A4A66">
        <w:rPr>
          <w:rFonts w:eastAsiaTheme="majorEastAsia" w:cs="Arial"/>
          <w:color w:val="000000" w:themeColor="text1"/>
          <w:sz w:val="22"/>
        </w:rPr>
        <w:t xml:space="preserve">dashed line indicates </w:t>
      </w:r>
      <w:r w:rsidR="007F5CB6" w:rsidRPr="009A4A66">
        <w:rPr>
          <w:rFonts w:eastAsiaTheme="majorEastAsia" w:cs="Arial"/>
          <w:color w:val="000000" w:themeColor="text1"/>
          <w:sz w:val="22"/>
        </w:rPr>
        <w:t xml:space="preserve">the </w:t>
      </w:r>
      <w:r w:rsidRPr="009A4A66">
        <w:rPr>
          <w:rFonts w:eastAsiaTheme="majorEastAsia" w:cs="Arial"/>
          <w:color w:val="000000" w:themeColor="text1"/>
          <w:sz w:val="22"/>
        </w:rPr>
        <w:t xml:space="preserve">PBS control </w:t>
      </w:r>
      <w:r w:rsidR="00F70653" w:rsidRPr="009A4A66">
        <w:rPr>
          <w:rFonts w:eastAsiaTheme="majorEastAsia" w:cs="Arial"/>
          <w:color w:val="000000" w:themeColor="text1"/>
          <w:sz w:val="22"/>
        </w:rPr>
        <w:t xml:space="preserve">serum </w:t>
      </w:r>
      <w:r w:rsidRPr="009A4A66">
        <w:rPr>
          <w:rFonts w:eastAsiaTheme="majorEastAsia" w:cs="Arial"/>
          <w:color w:val="000000" w:themeColor="text1"/>
          <w:sz w:val="22"/>
        </w:rPr>
        <w:t>level. N=3-4</w:t>
      </w:r>
      <w:r w:rsidR="007F5CB6" w:rsidRPr="009A4A66">
        <w:rPr>
          <w:rFonts w:eastAsiaTheme="majorEastAsia" w:cs="Arial"/>
          <w:color w:val="000000" w:themeColor="text1"/>
          <w:sz w:val="22"/>
        </w:rPr>
        <w:t xml:space="preserve">, </w:t>
      </w:r>
      <w:r w:rsidR="007F5CB6" w:rsidRPr="009A4A66">
        <w:rPr>
          <w:rFonts w:cs="Arial"/>
          <w:color w:val="000000" w:themeColor="text1"/>
          <w:sz w:val="22"/>
        </w:rPr>
        <w:t>error bars represent SEM,</w:t>
      </w:r>
      <w:r w:rsidRPr="009A4A66">
        <w:rPr>
          <w:rFonts w:eastAsiaTheme="majorEastAsia" w:cs="Arial"/>
          <w:color w:val="000000" w:themeColor="text1"/>
          <w:sz w:val="22"/>
        </w:rPr>
        <w:t xml:space="preserve"> ns = not significant</w:t>
      </w:r>
      <w:r w:rsidR="007A06A5" w:rsidRPr="009A4A66">
        <w:rPr>
          <w:rFonts w:eastAsiaTheme="majorEastAsia" w:cs="Arial"/>
          <w:color w:val="000000" w:themeColor="text1"/>
          <w:sz w:val="22"/>
        </w:rPr>
        <w:t xml:space="preserve"> by</w:t>
      </w:r>
      <w:r w:rsidRPr="009A4A66">
        <w:rPr>
          <w:rFonts w:eastAsiaTheme="majorEastAsia" w:cs="Arial"/>
          <w:color w:val="000000" w:themeColor="text1"/>
          <w:sz w:val="22"/>
        </w:rPr>
        <w:t xml:space="preserve"> </w:t>
      </w:r>
      <w:r w:rsidR="007F5CB6" w:rsidRPr="009A4A66">
        <w:rPr>
          <w:rFonts w:eastAsiaTheme="majorEastAsia" w:cs="Arial"/>
          <w:color w:val="000000" w:themeColor="text1"/>
          <w:sz w:val="22"/>
        </w:rPr>
        <w:t xml:space="preserve">Welch’s </w:t>
      </w:r>
      <w:r w:rsidRPr="009A4A66">
        <w:rPr>
          <w:rFonts w:eastAsiaTheme="majorEastAsia" w:cs="Arial"/>
          <w:color w:val="000000" w:themeColor="text1"/>
          <w:sz w:val="22"/>
        </w:rPr>
        <w:t>t-test</w:t>
      </w:r>
      <w:r w:rsidR="00AC55EF" w:rsidRPr="009A4A66">
        <w:rPr>
          <w:rFonts w:cs="Arial"/>
          <w:color w:val="000000" w:themeColor="text1"/>
          <w:sz w:val="22"/>
        </w:rPr>
        <w:t>.</w:t>
      </w:r>
    </w:p>
    <w:p w14:paraId="12047B2C" w14:textId="77777777" w:rsidR="00AC55EF" w:rsidRPr="009A4A66" w:rsidRDefault="00AC55EF" w:rsidP="00AC55EF">
      <w:pPr>
        <w:jc w:val="both"/>
        <w:rPr>
          <w:rFonts w:cs="Arial"/>
          <w:bCs/>
          <w:iCs/>
          <w:color w:val="000000" w:themeColor="text1"/>
          <w:sz w:val="22"/>
        </w:rPr>
      </w:pPr>
    </w:p>
    <w:p w14:paraId="50F606E6" w14:textId="77777777" w:rsidR="00AC55EF" w:rsidRPr="009A4A66" w:rsidRDefault="00AC55EF" w:rsidP="00AC55EF">
      <w:pPr>
        <w:spacing w:line="240" w:lineRule="auto"/>
        <w:rPr>
          <w:rFonts w:cs="Arial"/>
          <w:color w:val="000000" w:themeColor="text1"/>
          <w:sz w:val="22"/>
        </w:rPr>
      </w:pPr>
    </w:p>
    <w:sectPr w:rsidR="00AC55EF" w:rsidRPr="009A4A66" w:rsidSect="009A4A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5EF"/>
    <w:rsid w:val="0000260F"/>
    <w:rsid w:val="00002E05"/>
    <w:rsid w:val="00040066"/>
    <w:rsid w:val="000871C7"/>
    <w:rsid w:val="000D6477"/>
    <w:rsid w:val="001118AF"/>
    <w:rsid w:val="001171AD"/>
    <w:rsid w:val="00117457"/>
    <w:rsid w:val="001210D3"/>
    <w:rsid w:val="001402AC"/>
    <w:rsid w:val="00146CCE"/>
    <w:rsid w:val="001B2B5A"/>
    <w:rsid w:val="001B658F"/>
    <w:rsid w:val="001C406A"/>
    <w:rsid w:val="001E2290"/>
    <w:rsid w:val="001F0546"/>
    <w:rsid w:val="002011DD"/>
    <w:rsid w:val="00217806"/>
    <w:rsid w:val="00270D09"/>
    <w:rsid w:val="002E1C57"/>
    <w:rsid w:val="00323736"/>
    <w:rsid w:val="003266F7"/>
    <w:rsid w:val="00352F2F"/>
    <w:rsid w:val="00352F5A"/>
    <w:rsid w:val="00354869"/>
    <w:rsid w:val="00366DFD"/>
    <w:rsid w:val="00374BB8"/>
    <w:rsid w:val="003B6251"/>
    <w:rsid w:val="003F1D09"/>
    <w:rsid w:val="003F7274"/>
    <w:rsid w:val="004738EF"/>
    <w:rsid w:val="004F1C5E"/>
    <w:rsid w:val="005A5D3C"/>
    <w:rsid w:val="005F40FB"/>
    <w:rsid w:val="00631582"/>
    <w:rsid w:val="0070363F"/>
    <w:rsid w:val="0073652B"/>
    <w:rsid w:val="00737DBB"/>
    <w:rsid w:val="00755A3B"/>
    <w:rsid w:val="0077252F"/>
    <w:rsid w:val="007A06A5"/>
    <w:rsid w:val="007A6109"/>
    <w:rsid w:val="007B57B2"/>
    <w:rsid w:val="007E2136"/>
    <w:rsid w:val="007F5CB6"/>
    <w:rsid w:val="00831E95"/>
    <w:rsid w:val="0085071E"/>
    <w:rsid w:val="00855139"/>
    <w:rsid w:val="008A69E6"/>
    <w:rsid w:val="008E3A1C"/>
    <w:rsid w:val="008E3C3A"/>
    <w:rsid w:val="0093259A"/>
    <w:rsid w:val="00960191"/>
    <w:rsid w:val="00960490"/>
    <w:rsid w:val="009A4A66"/>
    <w:rsid w:val="009D05CE"/>
    <w:rsid w:val="009E4A0D"/>
    <w:rsid w:val="00A22434"/>
    <w:rsid w:val="00A32DE2"/>
    <w:rsid w:val="00AC55EF"/>
    <w:rsid w:val="00AD0DBF"/>
    <w:rsid w:val="00AD5691"/>
    <w:rsid w:val="00AE307B"/>
    <w:rsid w:val="00AF21FF"/>
    <w:rsid w:val="00B516ED"/>
    <w:rsid w:val="00B61445"/>
    <w:rsid w:val="00B64814"/>
    <w:rsid w:val="00C15742"/>
    <w:rsid w:val="00C54F56"/>
    <w:rsid w:val="00C7756F"/>
    <w:rsid w:val="00C7796C"/>
    <w:rsid w:val="00D33930"/>
    <w:rsid w:val="00D459DF"/>
    <w:rsid w:val="00D6314A"/>
    <w:rsid w:val="00D736B2"/>
    <w:rsid w:val="00DB59BA"/>
    <w:rsid w:val="00DC43E1"/>
    <w:rsid w:val="00E274A8"/>
    <w:rsid w:val="00EE3E99"/>
    <w:rsid w:val="00EF442E"/>
    <w:rsid w:val="00F05D9D"/>
    <w:rsid w:val="00F420B8"/>
    <w:rsid w:val="00F70653"/>
    <w:rsid w:val="00F73042"/>
    <w:rsid w:val="00F97CC0"/>
    <w:rsid w:val="00FA2B20"/>
    <w:rsid w:val="00FB1139"/>
    <w:rsid w:val="00FC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D2EDDE"/>
  <w15:chartTrackingRefBased/>
  <w15:docId w15:val="{BE0FC5F2-BEA2-1242-9A7C-16CC60D15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5EF"/>
    <w:pPr>
      <w:spacing w:after="160" w:line="480" w:lineRule="auto"/>
    </w:pPr>
    <w:rPr>
      <w:rFonts w:ascii="Arial" w:hAnsi="Arial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55E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55E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55EF"/>
    <w:pPr>
      <w:keepNext/>
      <w:keepLines/>
      <w:spacing w:before="160" w:after="80" w:line="240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aliases w:val="Tables"/>
    <w:basedOn w:val="Normal"/>
    <w:next w:val="Normal"/>
    <w:link w:val="Heading4Char"/>
    <w:uiPriority w:val="9"/>
    <w:unhideWhenUsed/>
    <w:qFormat/>
    <w:rsid w:val="00AC55EF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AD0DBF"/>
    <w:pPr>
      <w:spacing w:line="240" w:lineRule="auto"/>
      <w:outlineLvl w:val="4"/>
    </w:pPr>
    <w:rPr>
      <w:color w:val="000000" w:themeColor="text1"/>
      <w:kern w:val="2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55EF"/>
    <w:pPr>
      <w:keepNext/>
      <w:keepLines/>
      <w:spacing w:before="40" w:after="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55EF"/>
    <w:pPr>
      <w:keepNext/>
      <w:keepLines/>
      <w:spacing w:before="40" w:after="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55EF"/>
    <w:pPr>
      <w:keepNext/>
      <w:keepLines/>
      <w:spacing w:after="0"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55EF"/>
    <w:pPr>
      <w:keepNext/>
      <w:keepLines/>
      <w:spacing w:after="0"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855139"/>
    <w:pPr>
      <w:spacing w:line="360" w:lineRule="auto"/>
    </w:pPr>
    <w:rPr>
      <w:rFonts w:cs="Arial"/>
      <w:b/>
      <w:bCs/>
      <w:color w:val="000000" w:themeColor="text1"/>
      <w:kern w:val="2"/>
      <w:sz w:val="32"/>
      <w:szCs w:val="32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55139"/>
    <w:rPr>
      <w:rFonts w:ascii="Arial" w:hAnsi="Arial" w:cs="Arial"/>
      <w:b/>
      <w:bCs/>
      <w:color w:val="000000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AD0DBF"/>
    <w:rPr>
      <w:rFonts w:ascii="Arial" w:hAnsi="Arial"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7796C"/>
    <w:pPr>
      <w:tabs>
        <w:tab w:val="right" w:leader="dot" w:pos="9350"/>
      </w:tabs>
      <w:spacing w:before="120" w:after="0" w:line="240" w:lineRule="auto"/>
    </w:pPr>
    <w:rPr>
      <w:rFonts w:cstheme="minorHAnsi"/>
      <w:b/>
      <w:bCs/>
      <w:iCs/>
      <w:color w:val="000000" w:themeColor="text1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7796C"/>
    <w:pPr>
      <w:spacing w:after="100" w:line="240" w:lineRule="auto"/>
      <w:ind w:left="720"/>
    </w:pPr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AC55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55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55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aliases w:val="Tables Char"/>
    <w:basedOn w:val="DefaultParagraphFont"/>
    <w:link w:val="Heading4"/>
    <w:uiPriority w:val="9"/>
    <w:rsid w:val="00AC55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C55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55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55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55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55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C55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AC55EF"/>
    <w:pPr>
      <w:spacing w:before="160" w:line="240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C55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55EF"/>
    <w:pPr>
      <w:spacing w:after="0" w:line="240" w:lineRule="auto"/>
      <w:ind w:left="720"/>
      <w:contextualSpacing/>
    </w:pPr>
    <w:rPr>
      <w:rFonts w:asciiTheme="minorHAnsi" w:hAnsiTheme="minorHAnsi"/>
      <w:kern w:val="2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C55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55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55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55EF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rsid w:val="00AC55EF"/>
    <w:pPr>
      <w:spacing w:after="200" w:line="240" w:lineRule="auto"/>
    </w:pPr>
    <w:rPr>
      <w:i/>
      <w:iCs/>
      <w:color w:val="000000" w:themeColor="text1"/>
      <w:sz w:val="20"/>
      <w:szCs w:val="18"/>
    </w:rPr>
  </w:style>
  <w:style w:type="paragraph" w:styleId="Revision">
    <w:name w:val="Revision"/>
    <w:hidden/>
    <w:uiPriority w:val="99"/>
    <w:semiHidden/>
    <w:rsid w:val="00FA2B20"/>
    <w:rPr>
      <w:rFonts w:ascii="Arial" w:hAnsi="Arial"/>
      <w:kern w:val="0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FA2B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2B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2B20"/>
    <w:rPr>
      <w:rFonts w:ascii="Arial" w:hAnsi="Arial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2B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2B20"/>
    <w:rPr>
      <w:rFonts w:ascii="Arial" w:hAnsi="Arial"/>
      <w:b/>
      <w:bCs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9A4A6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A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11" Type="http://schemas.openxmlformats.org/officeDocument/2006/relationships/theme" Target="theme/theme1.xml"/><Relationship Id="rId5" Type="http://schemas.openxmlformats.org/officeDocument/2006/relationships/image" Target="media/image1.t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956353-2572-3441-A110-CB9D89527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416</Words>
  <Characters>2293</Characters>
  <Application>Microsoft Office Word</Application>
  <DocSecurity>0</DocSecurity>
  <Lines>44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Mariah Arral</dc:creator>
  <cp:keywords/>
  <dc:description/>
  <cp:lastModifiedBy>Arral, Mariah L.</cp:lastModifiedBy>
  <cp:revision>22</cp:revision>
  <dcterms:created xsi:type="dcterms:W3CDTF">2026-05-04T19:23:00Z</dcterms:created>
  <dcterms:modified xsi:type="dcterms:W3CDTF">2026-05-19T20:16:00Z</dcterms:modified>
</cp:coreProperties>
</file>